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448" w14:textId="77777777" w:rsidR="000A0435" w:rsidRPr="001B4029" w:rsidRDefault="000A0435" w:rsidP="00747B2D">
      <w:pPr>
        <w:pStyle w:val="paragraph"/>
        <w:spacing w:before="0" w:beforeAutospacing="0" w:after="0" w:afterAutospacing="0"/>
        <w:ind w:hanging="555"/>
        <w:jc w:val="right"/>
        <w:textAlignment w:val="baseline"/>
        <w:rPr>
          <w:lang w:val="lv-LV"/>
        </w:rPr>
      </w:pPr>
      <w:r w:rsidRPr="001B4029">
        <w:rPr>
          <w:rStyle w:val="normaltextrun"/>
          <w:color w:val="000000"/>
          <w:lang w:val="lv-LV"/>
        </w:rPr>
        <w:t>Projekta iesnieguma</w:t>
      </w:r>
      <w:r w:rsidRPr="001B4029">
        <w:rPr>
          <w:rStyle w:val="eop"/>
          <w:color w:val="000000"/>
          <w:lang w:val="lv-LV"/>
        </w:rPr>
        <w:t> </w:t>
      </w:r>
    </w:p>
    <w:p w14:paraId="0B94B50C" w14:textId="75236A39" w:rsidR="000A0435" w:rsidRPr="001B4029" w:rsidRDefault="00EE3AE1" w:rsidP="00747B2D">
      <w:pPr>
        <w:pStyle w:val="paragraph"/>
        <w:spacing w:before="0" w:beforeAutospacing="0" w:after="0" w:afterAutospacing="0"/>
        <w:jc w:val="right"/>
        <w:textAlignment w:val="baseline"/>
        <w:rPr>
          <w:lang w:val="lv-LV"/>
        </w:rPr>
      </w:pPr>
      <w:r w:rsidRPr="001B4029">
        <w:rPr>
          <w:rStyle w:val="normaltextrun"/>
          <w:color w:val="000000"/>
          <w:lang w:val="lv-LV"/>
        </w:rPr>
        <w:t>1</w:t>
      </w:r>
      <w:r w:rsidR="000A0435" w:rsidRPr="001B4029">
        <w:rPr>
          <w:rStyle w:val="normaltextrun"/>
          <w:color w:val="000000"/>
          <w:lang w:val="lv-LV"/>
        </w:rPr>
        <w:t>. pielikums</w:t>
      </w:r>
      <w:r w:rsidR="000A0435" w:rsidRPr="001B4029">
        <w:rPr>
          <w:rStyle w:val="eop"/>
          <w:color w:val="000000"/>
          <w:lang w:val="lv-LV"/>
        </w:rPr>
        <w:t> </w:t>
      </w:r>
    </w:p>
    <w:p w14:paraId="62F24B40" w14:textId="77777777" w:rsidR="000A0435" w:rsidRPr="001B4029" w:rsidRDefault="000A0435" w:rsidP="00747B2D">
      <w:pPr>
        <w:pStyle w:val="paragraph"/>
        <w:spacing w:before="0" w:beforeAutospacing="0" w:after="0" w:afterAutospacing="0"/>
        <w:textAlignment w:val="baseline"/>
        <w:rPr>
          <w:lang w:val="lv-LV"/>
        </w:rPr>
      </w:pPr>
      <w:r w:rsidRPr="001B4029">
        <w:rPr>
          <w:rStyle w:val="eop"/>
          <w:color w:val="000000"/>
          <w:lang w:val="lv-LV"/>
        </w:rPr>
        <w:t> </w:t>
      </w:r>
    </w:p>
    <w:p w14:paraId="532A673B" w14:textId="519E3C45" w:rsidR="00BE0343" w:rsidRPr="001B4029" w:rsidRDefault="003565B6" w:rsidP="00747B2D">
      <w:pPr>
        <w:spacing w:after="0" w:line="240" w:lineRule="auto"/>
        <w:jc w:val="center"/>
        <w:rPr>
          <w:rFonts w:ascii="Times New Roman" w:hAnsi="Times New Roman" w:cs="Times New Roman"/>
          <w:b/>
          <w:i/>
          <w:sz w:val="28"/>
          <w:szCs w:val="28"/>
          <w:lang w:val="lv-LV"/>
        </w:rPr>
      </w:pPr>
      <w:r w:rsidRPr="001B4029">
        <w:rPr>
          <w:rFonts w:ascii="Times New Roman" w:hAnsi="Times New Roman" w:cs="Times New Roman"/>
          <w:b/>
          <w:i/>
          <w:sz w:val="28"/>
          <w:szCs w:val="28"/>
          <w:lang w:val="lv-LV"/>
        </w:rPr>
        <w:t>P</w:t>
      </w:r>
      <w:r w:rsidR="00BE0343" w:rsidRPr="001B4029">
        <w:rPr>
          <w:rFonts w:ascii="Times New Roman" w:hAnsi="Times New Roman" w:cs="Times New Roman"/>
          <w:b/>
          <w:i/>
          <w:sz w:val="28"/>
          <w:szCs w:val="28"/>
          <w:lang w:val="lv-LV"/>
        </w:rPr>
        <w:t>rojekta darbības plāns</w:t>
      </w:r>
    </w:p>
    <w:p w14:paraId="1CC72BA3" w14:textId="77777777" w:rsidR="00BE0343" w:rsidRPr="001B4029" w:rsidRDefault="00BE0343" w:rsidP="00747B2D">
      <w:pPr>
        <w:spacing w:after="0" w:line="240" w:lineRule="auto"/>
        <w:jc w:val="both"/>
        <w:rPr>
          <w:rFonts w:ascii="Times New Roman" w:hAnsi="Times New Roman" w:cs="Times New Roman"/>
          <w:sz w:val="24"/>
          <w:szCs w:val="24"/>
          <w:lang w:val="lv-LV"/>
        </w:rPr>
      </w:pPr>
    </w:p>
    <w:p w14:paraId="1FE1C098" w14:textId="7A80B915" w:rsidR="00BE0343" w:rsidRPr="001B4029" w:rsidRDefault="00BE0343" w:rsidP="00747B2D">
      <w:pPr>
        <w:spacing w:after="0" w:line="240" w:lineRule="auto"/>
        <w:ind w:firstLine="7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Iesniegšanai </w:t>
      </w:r>
      <w:r w:rsidR="007B3235" w:rsidRPr="001B4029">
        <w:rPr>
          <w:rFonts w:ascii="Times New Roman" w:hAnsi="Times New Roman" w:cs="Times New Roman"/>
          <w:sz w:val="24"/>
          <w:szCs w:val="24"/>
          <w:lang w:val="lv-LV"/>
        </w:rPr>
        <w:t xml:space="preserve">Ministru kabineta </w:t>
      </w:r>
      <w:r w:rsidR="0076051C" w:rsidRPr="001B4029">
        <w:rPr>
          <w:rFonts w:ascii="Times New Roman" w:hAnsi="Times New Roman" w:cs="Times New Roman"/>
          <w:sz w:val="24"/>
          <w:szCs w:val="24"/>
          <w:lang w:val="lv-LV"/>
        </w:rPr>
        <w:t>2024. gada 9. janvāra noteikumu Nr.</w:t>
      </w:r>
      <w:r w:rsidR="0051014B" w:rsidRPr="001B4029">
        <w:rPr>
          <w:rFonts w:ascii="Times New Roman" w:hAnsi="Times New Roman" w:cs="Times New Roman"/>
          <w:sz w:val="24"/>
          <w:szCs w:val="24"/>
          <w:lang w:val="lv-LV"/>
        </w:rPr>
        <w:t> </w:t>
      </w:r>
      <w:r w:rsidR="0076051C" w:rsidRPr="001B4029">
        <w:rPr>
          <w:rFonts w:ascii="Times New Roman" w:hAnsi="Times New Roman" w:cs="Times New Roman"/>
          <w:sz w:val="24"/>
          <w:szCs w:val="24"/>
          <w:lang w:val="lv-LV"/>
        </w:rPr>
        <w:t>3</w:t>
      </w:r>
      <w:r w:rsidR="0051014B" w:rsidRPr="001B4029">
        <w:rPr>
          <w:rFonts w:ascii="Times New Roman" w:hAnsi="Times New Roman" w:cs="Times New Roman"/>
          <w:sz w:val="24"/>
          <w:szCs w:val="24"/>
          <w:lang w:val="lv-LV"/>
        </w:rPr>
        <w:t>2</w:t>
      </w:r>
      <w:r w:rsidR="0076051C" w:rsidRPr="001B4029">
        <w:rPr>
          <w:rFonts w:ascii="Times New Roman" w:hAnsi="Times New Roman" w:cs="Times New Roman"/>
          <w:sz w:val="24"/>
          <w:szCs w:val="24"/>
          <w:lang w:val="lv-LV"/>
        </w:rPr>
        <w:t xml:space="preserve"> </w:t>
      </w:r>
      <w:r w:rsidR="0051014B" w:rsidRPr="001B4029">
        <w:rPr>
          <w:rFonts w:ascii="Times New Roman" w:hAnsi="Times New Roman" w:cs="Times New Roman"/>
          <w:sz w:val="24"/>
          <w:szCs w:val="24"/>
          <w:lang w:val="lv-LV"/>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 (turpmāk – MK noteikumi) ietvaros.</w:t>
      </w:r>
    </w:p>
    <w:p w14:paraId="7D0220AB" w14:textId="77777777" w:rsidR="00747B2D" w:rsidRPr="001B4029" w:rsidRDefault="00747B2D" w:rsidP="00747B2D">
      <w:pPr>
        <w:spacing w:after="0" w:line="240" w:lineRule="auto"/>
        <w:ind w:firstLine="720"/>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2408"/>
        <w:gridCol w:w="3295"/>
        <w:gridCol w:w="1774"/>
        <w:gridCol w:w="1873"/>
      </w:tblGrid>
      <w:tr w:rsidR="003E39F8" w:rsidRPr="001B4029" w14:paraId="667E76DC" w14:textId="77777777" w:rsidTr="003F48B2">
        <w:tc>
          <w:tcPr>
            <w:tcW w:w="9350" w:type="dxa"/>
            <w:gridSpan w:val="4"/>
            <w:shd w:val="clear" w:color="auto" w:fill="D9D9D9" w:themeFill="background1" w:themeFillShade="D9"/>
          </w:tcPr>
          <w:p w14:paraId="7AD47236" w14:textId="77777777" w:rsidR="003E39F8" w:rsidRPr="001B4029" w:rsidRDefault="003E39F8" w:rsidP="00747B2D">
            <w:pPr>
              <w:jc w:val="both"/>
              <w:rPr>
                <w:rFonts w:ascii="Times New Roman" w:hAnsi="Times New Roman" w:cs="Times New Roman"/>
                <w:b/>
                <w:bCs/>
                <w:sz w:val="24"/>
                <w:szCs w:val="24"/>
                <w:lang w:val="lv-LV"/>
              </w:rPr>
            </w:pPr>
            <w:r w:rsidRPr="001B4029">
              <w:rPr>
                <w:rFonts w:ascii="Times New Roman" w:hAnsi="Times New Roman" w:cs="Times New Roman"/>
                <w:b/>
                <w:bCs/>
                <w:sz w:val="24"/>
                <w:szCs w:val="24"/>
                <w:lang w:val="lv-LV"/>
              </w:rPr>
              <w:t>Plānotās darbības mērķi</w:t>
            </w:r>
          </w:p>
          <w:p w14:paraId="4F2F5937" w14:textId="2ED3A99B" w:rsidR="00C64074" w:rsidRPr="001B4029" w:rsidRDefault="00C64074" w:rsidP="00747B2D">
            <w:pPr>
              <w:jc w:val="both"/>
              <w:rPr>
                <w:rFonts w:ascii="Times New Roman" w:hAnsi="Times New Roman" w:cs="Times New Roman"/>
                <w:sz w:val="24"/>
                <w:szCs w:val="24"/>
                <w:lang w:val="lv-LV"/>
              </w:rPr>
            </w:pPr>
            <w:r w:rsidRPr="001B4029">
              <w:rPr>
                <w:rFonts w:ascii="Times New Roman" w:hAnsi="Times New Roman" w:cs="Times New Roman"/>
                <w:i/>
                <w:iCs/>
                <w:sz w:val="24"/>
                <w:szCs w:val="24"/>
                <w:lang w:val="lv-LV"/>
              </w:rPr>
              <w:t xml:space="preserve">(Norāda sasniedzamos mērķus un rādītājus, iekļaujot arī sasaisti ar viedās specializācijas ilgtermiņa stratēģiju. </w:t>
            </w:r>
            <w:r w:rsidRPr="001B4029">
              <w:rPr>
                <w:rFonts w:ascii="Times New Roman" w:hAnsi="Times New Roman" w:cs="Times New Roman"/>
                <w:bCs/>
                <w:i/>
                <w:iCs/>
                <w:sz w:val="24"/>
                <w:szCs w:val="24"/>
                <w:lang w:val="lv-LV"/>
              </w:rPr>
              <w:t>Raksturo</w:t>
            </w:r>
            <w:r w:rsidR="0079336B" w:rsidRPr="001B4029">
              <w:rPr>
                <w:rFonts w:ascii="Times New Roman" w:hAnsi="Times New Roman" w:cs="Times New Roman"/>
                <w:bCs/>
                <w:i/>
                <w:iCs/>
                <w:sz w:val="24"/>
                <w:szCs w:val="24"/>
                <w:lang w:val="lv-LV"/>
              </w:rPr>
              <w:t>,</w:t>
            </w:r>
            <w:r w:rsidRPr="001B4029">
              <w:rPr>
                <w:rFonts w:ascii="Times New Roman" w:hAnsi="Times New Roman" w:cs="Times New Roman"/>
                <w:bCs/>
                <w:i/>
                <w:iCs/>
                <w:sz w:val="24"/>
                <w:szCs w:val="24"/>
                <w:lang w:val="lv-LV"/>
              </w:rPr>
              <w:t xml:space="preserve"> kā palīdzēs sasniegt </w:t>
            </w:r>
            <w:r w:rsidRPr="001B4029">
              <w:rPr>
                <w:rFonts w:ascii="Times New Roman" w:hAnsi="Times New Roman" w:cs="Times New Roman"/>
                <w:i/>
                <w:iCs/>
                <w:sz w:val="24"/>
                <w:szCs w:val="24"/>
                <w:lang w:val="lv-LV"/>
              </w:rPr>
              <w:t xml:space="preserve">viedās specializācijas </w:t>
            </w:r>
            <w:r w:rsidRPr="001B4029">
              <w:rPr>
                <w:rFonts w:ascii="Times New Roman" w:hAnsi="Times New Roman" w:cs="Times New Roman"/>
                <w:bCs/>
                <w:i/>
                <w:iCs/>
                <w:sz w:val="24"/>
                <w:szCs w:val="24"/>
                <w:lang w:val="lv-LV"/>
              </w:rPr>
              <w:t>jomas ilgtermiņa stratēģijas mērķus un atskaites punktus</w:t>
            </w:r>
            <w:r w:rsidRPr="001B4029">
              <w:rPr>
                <w:rFonts w:ascii="Times New Roman" w:hAnsi="Times New Roman" w:cs="Times New Roman"/>
                <w:i/>
                <w:iCs/>
                <w:sz w:val="24"/>
                <w:szCs w:val="24"/>
                <w:lang w:val="lv-LV"/>
              </w:rPr>
              <w:t>).</w:t>
            </w:r>
          </w:p>
        </w:tc>
      </w:tr>
      <w:tr w:rsidR="003E39F8" w:rsidRPr="001B4029" w14:paraId="28F8751B" w14:textId="77777777" w:rsidTr="003F48B2">
        <w:tc>
          <w:tcPr>
            <w:tcW w:w="9350" w:type="dxa"/>
            <w:gridSpan w:val="4"/>
          </w:tcPr>
          <w:p w14:paraId="71B039A2" w14:textId="77777777" w:rsidR="003E39F8" w:rsidRPr="001B4029" w:rsidRDefault="003E39F8" w:rsidP="00747B2D">
            <w:pPr>
              <w:jc w:val="both"/>
              <w:rPr>
                <w:rFonts w:ascii="Times New Roman" w:hAnsi="Times New Roman" w:cs="Times New Roman"/>
                <w:sz w:val="24"/>
                <w:szCs w:val="24"/>
                <w:lang w:val="lv-LV"/>
              </w:rPr>
            </w:pPr>
          </w:p>
          <w:p w14:paraId="3BF57B1F"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 xml:space="preserve">Projekta “Mašīnbūves kompetences centra atbalsts pētniecībai” mērķis ir privāto pētniecības un attīstības investīciju apjoma palielināšana, veicot mērķētas publiskās investīcijas, lai sekmētu jaunu produktu un pakalpojumu izstrādi, kā arī zināšanu pārnesi tautsaimniecībā, īstenojot pētniecības projektus, kas attīsta jaunus produktus un tehnoloģijas un ievieš tās ražošanā modernu ražošanas tehnoloģiju un </w:t>
            </w:r>
            <w:proofErr w:type="spellStart"/>
            <w:r w:rsidRPr="00C11061">
              <w:rPr>
                <w:rFonts w:ascii="Times New Roman" w:hAnsi="Times New Roman" w:cs="Times New Roman"/>
                <w:iCs/>
                <w:sz w:val="24"/>
                <w:szCs w:val="24"/>
                <w:lang w:val="lv-LV"/>
              </w:rPr>
              <w:t>inženiersistēmu</w:t>
            </w:r>
            <w:proofErr w:type="spellEnd"/>
            <w:r w:rsidRPr="00C11061">
              <w:rPr>
                <w:rFonts w:ascii="Times New Roman" w:hAnsi="Times New Roman" w:cs="Times New Roman"/>
                <w:iCs/>
                <w:sz w:val="24"/>
                <w:szCs w:val="24"/>
                <w:lang w:val="lv-LV"/>
              </w:rPr>
              <w:t xml:space="preserve"> </w:t>
            </w:r>
            <w:proofErr w:type="spellStart"/>
            <w:r w:rsidRPr="00C11061">
              <w:rPr>
                <w:rFonts w:ascii="Times New Roman" w:hAnsi="Times New Roman" w:cs="Times New Roman"/>
                <w:iCs/>
                <w:sz w:val="24"/>
                <w:szCs w:val="24"/>
                <w:lang w:val="lv-LV"/>
              </w:rPr>
              <w:t>apakšjomā</w:t>
            </w:r>
            <w:proofErr w:type="spellEnd"/>
            <w:r w:rsidRPr="00C11061">
              <w:rPr>
                <w:rFonts w:ascii="Times New Roman" w:hAnsi="Times New Roman" w:cs="Times New Roman"/>
                <w:iCs/>
                <w:sz w:val="24"/>
                <w:szCs w:val="24"/>
                <w:lang w:val="lv-LV"/>
              </w:rPr>
              <w:t xml:space="preserve"> mašīnbūves un metālapstrādes nozarē.</w:t>
            </w:r>
          </w:p>
          <w:p w14:paraId="53812AA7"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 xml:space="preserve">Projekts tiks īstenots no 2024.gada 1.jūnija līdz 2027.gada 31.decembrim trīs pētniecības virzienos – Automatizētu </w:t>
            </w:r>
            <w:proofErr w:type="spellStart"/>
            <w:r w:rsidRPr="00C11061">
              <w:rPr>
                <w:rFonts w:ascii="Times New Roman" w:hAnsi="Times New Roman" w:cs="Times New Roman"/>
                <w:iCs/>
                <w:sz w:val="24"/>
                <w:szCs w:val="24"/>
                <w:lang w:val="lv-LV"/>
              </w:rPr>
              <w:t>inženiersistēmu</w:t>
            </w:r>
            <w:proofErr w:type="spellEnd"/>
            <w:r w:rsidRPr="00C11061">
              <w:rPr>
                <w:rFonts w:ascii="Times New Roman" w:hAnsi="Times New Roman" w:cs="Times New Roman"/>
                <w:iCs/>
                <w:sz w:val="24"/>
                <w:szCs w:val="24"/>
                <w:lang w:val="lv-LV"/>
              </w:rPr>
              <w:t xml:space="preserve"> ražošanas tehnoloģijas, Materiālu ražošanas tehnoloģijas un Transporta tehnoloģijas, kas iekļaujas nozaru attīstības stratēģijās definētajās viedās specializācijas jomās. Projekta īstenošanā paredzēts iesaistīt vismaz 10 nozares / starpnozaru un zinātniskos partnerus.  </w:t>
            </w:r>
          </w:p>
          <w:p w14:paraId="1D4E3312" w14:textId="77777777" w:rsidR="00C11061" w:rsidRPr="00C11061" w:rsidRDefault="00C11061" w:rsidP="00C11061">
            <w:pPr>
              <w:jc w:val="both"/>
              <w:rPr>
                <w:rFonts w:ascii="Times New Roman" w:hAnsi="Times New Roman" w:cs="Times New Roman"/>
                <w:iCs/>
                <w:sz w:val="24"/>
                <w:szCs w:val="24"/>
                <w:lang w:val="lv-LV"/>
              </w:rPr>
            </w:pPr>
          </w:p>
          <w:p w14:paraId="5C09EA51"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Projekta kopējās izmaksas plānotas 8 080 000  EUR, no tām Atveseļošanas fonda finansējums - 5 957 956 EUR, projekta rezultātā tiek radīti vismaz 10 jauni produkti un tehnoloģijas.</w:t>
            </w:r>
          </w:p>
          <w:p w14:paraId="036F08C9"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Projektu paredzēts īstenot Viedās specializācijas (RIS3) jomā “</w:t>
            </w:r>
            <w:proofErr w:type="spellStart"/>
            <w:r w:rsidRPr="00C11061">
              <w:rPr>
                <w:rFonts w:ascii="Times New Roman" w:hAnsi="Times New Roman" w:cs="Times New Roman"/>
                <w:iCs/>
                <w:sz w:val="24"/>
                <w:szCs w:val="24"/>
                <w:lang w:val="lv-LV"/>
              </w:rPr>
              <w:t>fotonika</w:t>
            </w:r>
            <w:proofErr w:type="spellEnd"/>
            <w:r w:rsidRPr="00C11061">
              <w:rPr>
                <w:rFonts w:ascii="Times New Roman" w:hAnsi="Times New Roman" w:cs="Times New Roman"/>
                <w:iCs/>
                <w:sz w:val="24"/>
                <w:szCs w:val="24"/>
                <w:lang w:val="lv-LV"/>
              </w:rPr>
              <w:t xml:space="preserve"> un viedie materiāli, tehnoloģijas un </w:t>
            </w:r>
            <w:proofErr w:type="spellStart"/>
            <w:r w:rsidRPr="00C11061">
              <w:rPr>
                <w:rFonts w:ascii="Times New Roman" w:hAnsi="Times New Roman" w:cs="Times New Roman"/>
                <w:iCs/>
                <w:sz w:val="24"/>
                <w:szCs w:val="24"/>
                <w:lang w:val="lv-LV"/>
              </w:rPr>
              <w:t>inženiersistēmas</w:t>
            </w:r>
            <w:proofErr w:type="spellEnd"/>
            <w:r w:rsidRPr="00C11061">
              <w:rPr>
                <w:rFonts w:ascii="Times New Roman" w:hAnsi="Times New Roman" w:cs="Times New Roman"/>
                <w:iCs/>
                <w:sz w:val="24"/>
                <w:szCs w:val="24"/>
                <w:lang w:val="lv-LV"/>
              </w:rPr>
              <w:t xml:space="preserve">”, fokusējoties uz modernu ražošanas tehnoloģiju un </w:t>
            </w:r>
            <w:proofErr w:type="spellStart"/>
            <w:r w:rsidRPr="00C11061">
              <w:rPr>
                <w:rFonts w:ascii="Times New Roman" w:hAnsi="Times New Roman" w:cs="Times New Roman"/>
                <w:iCs/>
                <w:sz w:val="24"/>
                <w:szCs w:val="24"/>
                <w:lang w:val="lv-LV"/>
              </w:rPr>
              <w:t>inženiersistēmu</w:t>
            </w:r>
            <w:proofErr w:type="spellEnd"/>
            <w:r w:rsidRPr="00C11061">
              <w:rPr>
                <w:rFonts w:ascii="Times New Roman" w:hAnsi="Times New Roman" w:cs="Times New Roman"/>
                <w:iCs/>
                <w:sz w:val="24"/>
                <w:szCs w:val="24"/>
                <w:lang w:val="lv-LV"/>
              </w:rPr>
              <w:t xml:space="preserve"> </w:t>
            </w:r>
            <w:proofErr w:type="spellStart"/>
            <w:r w:rsidRPr="00C11061">
              <w:rPr>
                <w:rFonts w:ascii="Times New Roman" w:hAnsi="Times New Roman" w:cs="Times New Roman"/>
                <w:iCs/>
                <w:sz w:val="24"/>
                <w:szCs w:val="24"/>
                <w:lang w:val="lv-LV"/>
              </w:rPr>
              <w:t>apakšjomu</w:t>
            </w:r>
            <w:proofErr w:type="spellEnd"/>
            <w:r w:rsidRPr="00C11061">
              <w:rPr>
                <w:rFonts w:ascii="Times New Roman" w:hAnsi="Times New Roman" w:cs="Times New Roman"/>
                <w:iCs/>
                <w:sz w:val="24"/>
                <w:szCs w:val="24"/>
                <w:lang w:val="lv-LV"/>
              </w:rPr>
              <w:t>.</w:t>
            </w:r>
          </w:p>
          <w:p w14:paraId="55B0B4F3"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Projekta rezultātā tiks veicināta RIS3 jomas “</w:t>
            </w:r>
            <w:proofErr w:type="spellStart"/>
            <w:r w:rsidRPr="00C11061">
              <w:rPr>
                <w:rFonts w:ascii="Times New Roman" w:hAnsi="Times New Roman" w:cs="Times New Roman"/>
                <w:iCs/>
                <w:sz w:val="24"/>
                <w:szCs w:val="24"/>
                <w:lang w:val="lv-LV"/>
              </w:rPr>
              <w:t>fotonika</w:t>
            </w:r>
            <w:proofErr w:type="spellEnd"/>
            <w:r w:rsidRPr="00C11061">
              <w:rPr>
                <w:rFonts w:ascii="Times New Roman" w:hAnsi="Times New Roman" w:cs="Times New Roman"/>
                <w:iCs/>
                <w:sz w:val="24"/>
                <w:szCs w:val="24"/>
                <w:lang w:val="lv-LV"/>
              </w:rPr>
              <w:t xml:space="preserve"> un viedie materiāli, tehnoloģijas un </w:t>
            </w:r>
            <w:proofErr w:type="spellStart"/>
            <w:r w:rsidRPr="00C11061">
              <w:rPr>
                <w:rFonts w:ascii="Times New Roman" w:hAnsi="Times New Roman" w:cs="Times New Roman"/>
                <w:iCs/>
                <w:sz w:val="24"/>
                <w:szCs w:val="24"/>
                <w:lang w:val="lv-LV"/>
              </w:rPr>
              <w:t>inženiersistēmas</w:t>
            </w:r>
            <w:proofErr w:type="spellEnd"/>
            <w:r w:rsidRPr="00C11061">
              <w:rPr>
                <w:rFonts w:ascii="Times New Roman" w:hAnsi="Times New Roman" w:cs="Times New Roman"/>
                <w:iCs/>
                <w:sz w:val="24"/>
                <w:szCs w:val="24"/>
                <w:lang w:val="lv-LV"/>
              </w:rPr>
              <w:t>” attīstība saskaņā ar:</w:t>
            </w:r>
          </w:p>
          <w:p w14:paraId="771AB560"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w:t>
            </w:r>
            <w:r w:rsidRPr="00C11061">
              <w:rPr>
                <w:rFonts w:ascii="Times New Roman" w:hAnsi="Times New Roman" w:cs="Times New Roman"/>
                <w:iCs/>
                <w:sz w:val="24"/>
                <w:szCs w:val="24"/>
                <w:lang w:val="lv-LV"/>
              </w:rPr>
              <w:tab/>
              <w:t xml:space="preserve">Izglītības un Zinātnes ministrijas izstrādātajai Latvijas Viedās specializācijas stratēģiju, jo projektā tiks palielināta inovāciju kapacitāte, kā arī nodrošināta modernu ražošanas tehnoloģiju un </w:t>
            </w:r>
            <w:proofErr w:type="spellStart"/>
            <w:r w:rsidRPr="00C11061">
              <w:rPr>
                <w:rFonts w:ascii="Times New Roman" w:hAnsi="Times New Roman" w:cs="Times New Roman"/>
                <w:iCs/>
                <w:sz w:val="24"/>
                <w:szCs w:val="24"/>
                <w:lang w:val="lv-LV"/>
              </w:rPr>
              <w:t>inženiersistēmu</w:t>
            </w:r>
            <w:proofErr w:type="spellEnd"/>
            <w:r w:rsidRPr="00C11061">
              <w:rPr>
                <w:rFonts w:ascii="Times New Roman" w:hAnsi="Times New Roman" w:cs="Times New Roman"/>
                <w:iCs/>
                <w:sz w:val="24"/>
                <w:szCs w:val="24"/>
                <w:lang w:val="lv-LV"/>
              </w:rPr>
              <w:t xml:space="preserve"> </w:t>
            </w:r>
            <w:proofErr w:type="spellStart"/>
            <w:r w:rsidRPr="00C11061">
              <w:rPr>
                <w:rFonts w:ascii="Times New Roman" w:hAnsi="Times New Roman" w:cs="Times New Roman"/>
                <w:iCs/>
                <w:sz w:val="24"/>
                <w:szCs w:val="24"/>
                <w:lang w:val="lv-LV"/>
              </w:rPr>
              <w:t>apakšjomā</w:t>
            </w:r>
            <w:proofErr w:type="spellEnd"/>
            <w:r w:rsidRPr="00C11061">
              <w:rPr>
                <w:rFonts w:ascii="Times New Roman" w:hAnsi="Times New Roman" w:cs="Times New Roman"/>
                <w:iCs/>
                <w:sz w:val="24"/>
                <w:szCs w:val="24"/>
                <w:lang w:val="lv-LV"/>
              </w:rPr>
              <w:t xml:space="preserve"> izveidotās inovācijas veicinošās sistēmas turpmāka darbība un ilgtspēja, tādējādi veicinot un atbalstot tehnoloģisko progresu tautsaimniecībā;</w:t>
            </w:r>
          </w:p>
          <w:p w14:paraId="56AD21AE"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w:t>
            </w:r>
            <w:r w:rsidRPr="00C11061">
              <w:rPr>
                <w:rFonts w:ascii="Times New Roman" w:hAnsi="Times New Roman" w:cs="Times New Roman"/>
                <w:iCs/>
                <w:sz w:val="24"/>
                <w:szCs w:val="24"/>
                <w:lang w:val="lv-LV"/>
              </w:rPr>
              <w:tab/>
              <w:t>Nacionālās industriālās politikas pamatnostādnēm 2021.-2027. gadam, jo projekta ietvaros, īstenojot pētniecības projektus, tiek nodrošināta inovācijas kapacitātes paaugstināšana, nodrošinot nepieciešamo atbalsta mehānismu produktu radīšanas un izstrādes procesiem;</w:t>
            </w:r>
          </w:p>
          <w:p w14:paraId="4AF1E927" w14:textId="77777777" w:rsidR="00C11061" w:rsidRPr="00C1106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w:t>
            </w:r>
            <w:r w:rsidRPr="00C11061">
              <w:rPr>
                <w:rFonts w:ascii="Times New Roman" w:hAnsi="Times New Roman" w:cs="Times New Roman"/>
                <w:iCs/>
                <w:sz w:val="24"/>
                <w:szCs w:val="24"/>
                <w:lang w:val="lv-LV"/>
              </w:rPr>
              <w:tab/>
              <w:t>monitoringa ziņojumiem, jo projekts tieši veicinās RIS3 jomas “</w:t>
            </w:r>
            <w:proofErr w:type="spellStart"/>
            <w:r w:rsidRPr="00C11061">
              <w:rPr>
                <w:rFonts w:ascii="Times New Roman" w:hAnsi="Times New Roman" w:cs="Times New Roman"/>
                <w:iCs/>
                <w:sz w:val="24"/>
                <w:szCs w:val="24"/>
                <w:lang w:val="lv-LV"/>
              </w:rPr>
              <w:t>Fotonika</w:t>
            </w:r>
            <w:proofErr w:type="spellEnd"/>
            <w:r w:rsidRPr="00C11061">
              <w:rPr>
                <w:rFonts w:ascii="Times New Roman" w:hAnsi="Times New Roman" w:cs="Times New Roman"/>
                <w:iCs/>
                <w:sz w:val="24"/>
                <w:szCs w:val="24"/>
                <w:lang w:val="lv-LV"/>
              </w:rPr>
              <w:t xml:space="preserve"> un viedie materiāli, tehnoloģijas un </w:t>
            </w:r>
            <w:proofErr w:type="spellStart"/>
            <w:r w:rsidRPr="00C11061">
              <w:rPr>
                <w:rFonts w:ascii="Times New Roman" w:hAnsi="Times New Roman" w:cs="Times New Roman"/>
                <w:iCs/>
                <w:sz w:val="24"/>
                <w:szCs w:val="24"/>
                <w:lang w:val="lv-LV"/>
              </w:rPr>
              <w:t>inženiersistēmas</w:t>
            </w:r>
            <w:proofErr w:type="spellEnd"/>
            <w:r w:rsidRPr="00C11061">
              <w:rPr>
                <w:rFonts w:ascii="Times New Roman" w:hAnsi="Times New Roman" w:cs="Times New Roman"/>
                <w:iCs/>
                <w:sz w:val="24"/>
                <w:szCs w:val="24"/>
                <w:lang w:val="lv-LV"/>
              </w:rPr>
              <w:t xml:space="preserve">” mērķi un ar tā palīdzību tiks tieši stimulēta jomas inovācijas darbība, īstenojot veicināšanas pasākumus, apmainoties ar zināšanām un pieredzi un </w:t>
            </w:r>
            <w:r w:rsidRPr="00C11061">
              <w:rPr>
                <w:rFonts w:ascii="Times New Roman" w:hAnsi="Times New Roman" w:cs="Times New Roman"/>
                <w:iCs/>
                <w:sz w:val="24"/>
                <w:szCs w:val="24"/>
                <w:lang w:val="lv-LV"/>
              </w:rPr>
              <w:lastRenderedPageBreak/>
              <w:t>efektīvi sekmējot zināšanu pārnesi, kā arī uzņēmumu un citu kopā ietilpstošo organizāciju sadarbību.</w:t>
            </w:r>
          </w:p>
          <w:p w14:paraId="3D8A47F2" w14:textId="77777777" w:rsidR="00C11061" w:rsidRPr="00C11061" w:rsidRDefault="00C11061" w:rsidP="00C11061">
            <w:pPr>
              <w:jc w:val="both"/>
              <w:rPr>
                <w:rFonts w:ascii="Times New Roman" w:hAnsi="Times New Roman" w:cs="Times New Roman"/>
                <w:iCs/>
                <w:sz w:val="24"/>
                <w:szCs w:val="24"/>
                <w:lang w:val="lv-LV"/>
              </w:rPr>
            </w:pPr>
          </w:p>
          <w:p w14:paraId="0A590C78" w14:textId="28E4336C" w:rsidR="00DB0EA1" w:rsidRDefault="00C11061" w:rsidP="00C1106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RIS3 jomas “</w:t>
            </w:r>
            <w:proofErr w:type="spellStart"/>
            <w:r w:rsidRPr="00C11061">
              <w:rPr>
                <w:rFonts w:ascii="Times New Roman" w:hAnsi="Times New Roman" w:cs="Times New Roman"/>
                <w:iCs/>
                <w:sz w:val="24"/>
                <w:szCs w:val="24"/>
                <w:lang w:val="lv-LV"/>
              </w:rPr>
              <w:t>Fotonika</w:t>
            </w:r>
            <w:proofErr w:type="spellEnd"/>
            <w:r w:rsidRPr="00C11061">
              <w:rPr>
                <w:rFonts w:ascii="Times New Roman" w:hAnsi="Times New Roman" w:cs="Times New Roman"/>
                <w:iCs/>
                <w:sz w:val="24"/>
                <w:szCs w:val="24"/>
                <w:lang w:val="lv-LV"/>
              </w:rPr>
              <w:t xml:space="preserve"> un viedie materiāli, tehnoloģijas un </w:t>
            </w:r>
            <w:proofErr w:type="spellStart"/>
            <w:r w:rsidRPr="00C11061">
              <w:rPr>
                <w:rFonts w:ascii="Times New Roman" w:hAnsi="Times New Roman" w:cs="Times New Roman"/>
                <w:iCs/>
                <w:sz w:val="24"/>
                <w:szCs w:val="24"/>
                <w:lang w:val="lv-LV"/>
              </w:rPr>
              <w:t>inženiersistēmas</w:t>
            </w:r>
            <w:proofErr w:type="spellEnd"/>
            <w:r w:rsidRPr="00C11061">
              <w:rPr>
                <w:rFonts w:ascii="Times New Roman" w:hAnsi="Times New Roman" w:cs="Times New Roman"/>
                <w:iCs/>
                <w:sz w:val="24"/>
                <w:szCs w:val="24"/>
                <w:lang w:val="lv-LV"/>
              </w:rPr>
              <w:t xml:space="preserve">” ekosistēmas stratēģijā, kas apstiprināta 13.01.2023., noteikts ilgtermiņa mērķis radīt priekšnoteikumus jomas nozaru ilgtspējīgai, uz zināšanām un inovācijām vērstai izaugsmei, kas sekmēs tautsaimniecības attīstību un stiprinātās Latvijas eksportspēju, tieši sasaucoties ar Nacionālās industriālās politikas mērķi – palielināt eksporta apjomu. Projektā paredzēto atbalsta pasākumu īstenošana tiešā veidā palīdzēs nodrošināt šīs misijas sasniegšanu, jo projekta īstenošanas rezultātā tiks radīti priekšnoteikumi modernu ražošanas tehnoloģiju un </w:t>
            </w:r>
            <w:proofErr w:type="spellStart"/>
            <w:r w:rsidRPr="00C11061">
              <w:rPr>
                <w:rFonts w:ascii="Times New Roman" w:hAnsi="Times New Roman" w:cs="Times New Roman"/>
                <w:iCs/>
                <w:sz w:val="24"/>
                <w:szCs w:val="24"/>
                <w:lang w:val="lv-LV"/>
              </w:rPr>
              <w:t>inženiersistēmu</w:t>
            </w:r>
            <w:proofErr w:type="spellEnd"/>
            <w:r w:rsidRPr="00C11061">
              <w:rPr>
                <w:rFonts w:ascii="Times New Roman" w:hAnsi="Times New Roman" w:cs="Times New Roman"/>
                <w:iCs/>
                <w:sz w:val="24"/>
                <w:szCs w:val="24"/>
                <w:lang w:val="lv-LV"/>
              </w:rPr>
              <w:t xml:space="preserve"> </w:t>
            </w:r>
            <w:proofErr w:type="spellStart"/>
            <w:r w:rsidRPr="00C11061">
              <w:rPr>
                <w:rFonts w:ascii="Times New Roman" w:hAnsi="Times New Roman" w:cs="Times New Roman"/>
                <w:iCs/>
                <w:sz w:val="24"/>
                <w:szCs w:val="24"/>
                <w:lang w:val="lv-LV"/>
              </w:rPr>
              <w:t>apakšjomu</w:t>
            </w:r>
            <w:proofErr w:type="spellEnd"/>
            <w:r w:rsidRPr="00C11061">
              <w:rPr>
                <w:rFonts w:ascii="Times New Roman" w:hAnsi="Times New Roman" w:cs="Times New Roman"/>
                <w:iCs/>
                <w:sz w:val="24"/>
                <w:szCs w:val="24"/>
                <w:lang w:val="lv-LV"/>
              </w:rPr>
              <w:t xml:space="preserve"> nozaru ilgtspējīgai un uz zināšanām un inovācijām vērstai izaugsmei, palīdzot sasniegt šādus mērķus:</w:t>
            </w:r>
          </w:p>
          <w:p w14:paraId="2756753F" w14:textId="48FFD188" w:rsidR="00C11061" w:rsidRPr="00C11061" w:rsidRDefault="00C11061" w:rsidP="00C11061">
            <w:pPr>
              <w:pStyle w:val="Sarakstarindkopa"/>
              <w:numPr>
                <w:ilvl w:val="0"/>
                <w:numId w:val="13"/>
              </w:numPr>
              <w:jc w:val="both"/>
              <w:rPr>
                <w:rFonts w:cs="Times New Roman"/>
                <w:b w:val="0"/>
                <w:bCs/>
                <w:iCs/>
                <w:sz w:val="24"/>
                <w:szCs w:val="24"/>
                <w:lang w:val="lv-LV"/>
              </w:rPr>
            </w:pPr>
            <w:r w:rsidRPr="00C11061">
              <w:rPr>
                <w:rFonts w:cs="Times New Roman"/>
                <w:b w:val="0"/>
                <w:bCs/>
                <w:iCs/>
                <w:sz w:val="24"/>
                <w:szCs w:val="24"/>
                <w:lang w:val="lv-LV"/>
              </w:rPr>
              <w:t xml:space="preserve">Attīstīt jaunas tehnoloģijas, inovatīvus produktus un pakalpojumus, sekmējot uzņēmumu efektivitāti, viedo transformāciju un iekļaušanos dažāda mēroga vērtību ķēdēs, jo projektā būs pieejams atbalsts jaunu tehnoloģiju un produktu izstrādei; </w:t>
            </w:r>
          </w:p>
          <w:p w14:paraId="3ADCBE2A" w14:textId="65D60694" w:rsidR="00C11061" w:rsidRPr="00C11061" w:rsidRDefault="00C11061" w:rsidP="00C11061">
            <w:pPr>
              <w:pStyle w:val="Sarakstarindkopa"/>
              <w:numPr>
                <w:ilvl w:val="0"/>
                <w:numId w:val="13"/>
              </w:numPr>
              <w:jc w:val="both"/>
              <w:rPr>
                <w:rFonts w:cs="Times New Roman"/>
                <w:b w:val="0"/>
                <w:bCs/>
                <w:iCs/>
                <w:sz w:val="24"/>
                <w:szCs w:val="24"/>
                <w:lang w:val="lv-LV"/>
              </w:rPr>
            </w:pPr>
            <w:r w:rsidRPr="00C11061">
              <w:rPr>
                <w:rFonts w:cs="Times New Roman"/>
                <w:b w:val="0"/>
                <w:bCs/>
                <w:iCs/>
                <w:sz w:val="24"/>
                <w:szCs w:val="24"/>
                <w:lang w:val="lv-LV"/>
              </w:rPr>
              <w:t>Attīstīt P&amp;A&amp;I kapacitāti – jo kompetences centra ietvaros nodrošināts atbalsts esošo starptautiski atzīto pētniecības virzienu attīstības stiprināšanai.</w:t>
            </w:r>
          </w:p>
          <w:p w14:paraId="559585E2" w14:textId="4C51E01C" w:rsidR="00C11061" w:rsidRDefault="00C11061" w:rsidP="00C11061">
            <w:pPr>
              <w:pStyle w:val="Sarakstarindkopa"/>
              <w:numPr>
                <w:ilvl w:val="0"/>
                <w:numId w:val="13"/>
              </w:numPr>
              <w:jc w:val="both"/>
              <w:rPr>
                <w:rFonts w:cs="Times New Roman"/>
                <w:b w:val="0"/>
                <w:bCs/>
                <w:iCs/>
                <w:sz w:val="24"/>
                <w:szCs w:val="24"/>
                <w:lang w:val="lv-LV"/>
              </w:rPr>
            </w:pPr>
            <w:r w:rsidRPr="00C11061">
              <w:rPr>
                <w:rFonts w:cs="Times New Roman"/>
                <w:b w:val="0"/>
                <w:bCs/>
                <w:iCs/>
                <w:sz w:val="24"/>
                <w:szCs w:val="24"/>
                <w:lang w:val="lv-LV"/>
              </w:rPr>
              <w:t>Nodrošināt jomas ieguldījumu kopējās eksportspējas palielinājumā līdz 27 miljardiem EUR 2027. gadā un ieguldījumam pētniecībā un attīstībā līdz 600 miljoniem EUR 2027. gadā, radot jaunus inovatīvus produktus ar augstāku pievienoto vērtību, kas sekmē eksporta pieaugumu.</w:t>
            </w:r>
          </w:p>
          <w:p w14:paraId="7C0F6F01" w14:textId="77777777" w:rsidR="00C11061" w:rsidRPr="00C11061" w:rsidRDefault="00C11061" w:rsidP="00C11061">
            <w:pPr>
              <w:pStyle w:val="Sarakstarindkopa"/>
              <w:ind w:left="720"/>
              <w:jc w:val="both"/>
              <w:rPr>
                <w:rFonts w:cs="Times New Roman"/>
                <w:b w:val="0"/>
                <w:bCs/>
                <w:iCs/>
                <w:sz w:val="24"/>
                <w:szCs w:val="24"/>
                <w:lang w:val="lv-LV"/>
              </w:rPr>
            </w:pPr>
          </w:p>
          <w:p w14:paraId="125AB830" w14:textId="735CDB31" w:rsidR="004C7A60" w:rsidRPr="001B4029" w:rsidRDefault="00C11061" w:rsidP="00DB0EA1">
            <w:pPr>
              <w:jc w:val="both"/>
              <w:rPr>
                <w:rFonts w:ascii="Times New Roman" w:hAnsi="Times New Roman" w:cs="Times New Roman"/>
                <w:iCs/>
                <w:sz w:val="24"/>
                <w:szCs w:val="24"/>
                <w:lang w:val="lv-LV"/>
              </w:rPr>
            </w:pPr>
            <w:r w:rsidRPr="00C11061">
              <w:rPr>
                <w:rFonts w:ascii="Times New Roman" w:hAnsi="Times New Roman" w:cs="Times New Roman"/>
                <w:iCs/>
                <w:sz w:val="24"/>
                <w:szCs w:val="24"/>
                <w:lang w:val="lv-LV"/>
              </w:rPr>
              <w:t>Īstenojot projektu, tiek novērsti saskaņā ar ekosistēmas stratēģiju būtiskākie jomas izaugsmi bremzējošie šķēršļi:</w:t>
            </w:r>
          </w:p>
          <w:p w14:paraId="6F25E8FE" w14:textId="6165757A" w:rsidR="004C7A60" w:rsidRPr="001B4029" w:rsidRDefault="004C7A60" w:rsidP="0052739C">
            <w:pPr>
              <w:pStyle w:val="Sarakstarindkopa"/>
              <w:numPr>
                <w:ilvl w:val="0"/>
                <w:numId w:val="5"/>
              </w:numPr>
              <w:jc w:val="both"/>
              <w:rPr>
                <w:rFonts w:cs="Times New Roman"/>
                <w:b w:val="0"/>
                <w:iCs/>
                <w:sz w:val="24"/>
                <w:szCs w:val="24"/>
                <w:lang w:val="lv-LV"/>
              </w:rPr>
            </w:pPr>
            <w:r w:rsidRPr="001B4029">
              <w:rPr>
                <w:rFonts w:cs="Times New Roman"/>
                <w:b w:val="0"/>
                <w:iCs/>
                <w:sz w:val="24"/>
                <w:szCs w:val="24"/>
                <w:lang w:val="lv-LV"/>
              </w:rPr>
              <w:t>nepilnīga inovāciju radīšanas un komercializāciju atbalstoša vide – projekta ietvaros tiek veiktas mērķētas publiskās investīcijas, lai tieši sekmētu inovācijas</w:t>
            </w:r>
            <w:r w:rsidR="00004ED1">
              <w:rPr>
                <w:rFonts w:cs="Times New Roman"/>
                <w:b w:val="0"/>
                <w:iCs/>
                <w:sz w:val="24"/>
                <w:szCs w:val="24"/>
                <w:lang w:val="lv-LV"/>
              </w:rPr>
              <w:t xml:space="preserve"> - </w:t>
            </w:r>
            <w:r w:rsidRPr="001B4029">
              <w:rPr>
                <w:rFonts w:cs="Times New Roman"/>
                <w:b w:val="0"/>
                <w:iCs/>
                <w:sz w:val="24"/>
                <w:szCs w:val="24"/>
                <w:lang w:val="lv-LV"/>
              </w:rPr>
              <w:t xml:space="preserve"> jaunu produktu un pakalpojumu izstrādi, </w:t>
            </w:r>
            <w:r w:rsidR="0052739C" w:rsidRPr="001B4029">
              <w:rPr>
                <w:rFonts w:cs="Times New Roman"/>
                <w:b w:val="0"/>
                <w:iCs/>
                <w:sz w:val="24"/>
                <w:szCs w:val="24"/>
                <w:lang w:val="lv-LV"/>
              </w:rPr>
              <w:t>augtāku punktu vērtējumu piešķirot tādiem pētniecības projektiem, kuri ir tuvāki komercializācijai, vērtējot eksperimentālās izstrādes īpatsvaru un TRL līmeni projekta beigās</w:t>
            </w:r>
            <w:r w:rsidRPr="001B4029">
              <w:rPr>
                <w:rFonts w:cs="Times New Roman"/>
                <w:b w:val="0"/>
                <w:iCs/>
                <w:sz w:val="24"/>
                <w:szCs w:val="24"/>
                <w:lang w:val="lv-LV"/>
              </w:rPr>
              <w:t xml:space="preserve">; </w:t>
            </w:r>
          </w:p>
          <w:p w14:paraId="69FF63E5" w14:textId="4447EEDB" w:rsidR="004C7A60" w:rsidRPr="001B4029" w:rsidRDefault="004C7A60" w:rsidP="0052739C">
            <w:pPr>
              <w:pStyle w:val="Sarakstarindkopa"/>
              <w:numPr>
                <w:ilvl w:val="0"/>
                <w:numId w:val="5"/>
              </w:numPr>
              <w:jc w:val="both"/>
              <w:rPr>
                <w:rFonts w:cs="Times New Roman"/>
                <w:b w:val="0"/>
                <w:iCs/>
                <w:sz w:val="24"/>
                <w:szCs w:val="24"/>
                <w:lang w:val="lv-LV"/>
              </w:rPr>
            </w:pPr>
            <w:r w:rsidRPr="001B4029">
              <w:rPr>
                <w:rFonts w:cs="Times New Roman"/>
                <w:b w:val="0"/>
                <w:iCs/>
                <w:sz w:val="24"/>
                <w:szCs w:val="24"/>
                <w:lang w:val="lv-LV"/>
              </w:rPr>
              <w:t>nepietiekams starptautiskais tvērums pētniecībā un inovācijās</w:t>
            </w:r>
            <w:r w:rsidR="0052739C" w:rsidRPr="001B4029">
              <w:rPr>
                <w:rFonts w:cs="Times New Roman"/>
                <w:b w:val="0"/>
                <w:iCs/>
                <w:sz w:val="24"/>
                <w:szCs w:val="24"/>
                <w:lang w:val="lv-LV"/>
              </w:rPr>
              <w:t xml:space="preserve"> - augstāks punktu novērtējums tiek piešķirts tam pētniecības projekta iesniegumam, kurā ir paredzēta starptautiska sadarbība</w:t>
            </w:r>
            <w:r w:rsidRPr="001B4029">
              <w:rPr>
                <w:rFonts w:cs="Times New Roman"/>
                <w:b w:val="0"/>
                <w:iCs/>
                <w:sz w:val="24"/>
                <w:szCs w:val="24"/>
                <w:lang w:val="lv-LV"/>
              </w:rPr>
              <w:t>;</w:t>
            </w:r>
          </w:p>
          <w:p w14:paraId="05A828ED" w14:textId="7036408E" w:rsidR="004C7A60" w:rsidRPr="001B4029" w:rsidRDefault="004C7A60" w:rsidP="00FF468D">
            <w:pPr>
              <w:pStyle w:val="Sarakstarindkopa"/>
              <w:numPr>
                <w:ilvl w:val="0"/>
                <w:numId w:val="5"/>
              </w:numPr>
              <w:jc w:val="both"/>
              <w:rPr>
                <w:rFonts w:cs="Times New Roman"/>
                <w:b w:val="0"/>
                <w:iCs/>
                <w:sz w:val="24"/>
                <w:szCs w:val="24"/>
                <w:lang w:val="lv-LV"/>
              </w:rPr>
            </w:pPr>
            <w:r w:rsidRPr="001B4029">
              <w:rPr>
                <w:rFonts w:cs="Times New Roman"/>
                <w:b w:val="0"/>
                <w:iCs/>
                <w:sz w:val="24"/>
                <w:szCs w:val="24"/>
                <w:lang w:val="lv-LV"/>
              </w:rPr>
              <w:t>uzņēmumu jauno produktu, tehnoloģiju, inovāciju atbalsta programmu pārrāvumi</w:t>
            </w:r>
            <w:r w:rsidR="0052739C" w:rsidRPr="001B4029">
              <w:rPr>
                <w:rFonts w:cs="Times New Roman"/>
                <w:b w:val="0"/>
                <w:iCs/>
                <w:sz w:val="24"/>
                <w:szCs w:val="24"/>
                <w:lang w:val="lv-LV"/>
              </w:rPr>
              <w:t xml:space="preserve"> – esošajā </w:t>
            </w:r>
            <w:r w:rsidR="00FF468D" w:rsidRPr="001B4029">
              <w:rPr>
                <w:rFonts w:cs="Times New Roman"/>
                <w:b w:val="0"/>
                <w:iCs/>
                <w:sz w:val="24"/>
                <w:szCs w:val="24"/>
                <w:lang w:val="lv-LV"/>
              </w:rPr>
              <w:t>Kompetences centra projekta</w:t>
            </w:r>
            <w:r w:rsidR="0052739C" w:rsidRPr="001B4029">
              <w:rPr>
                <w:rFonts w:cs="Times New Roman"/>
                <w:b w:val="0"/>
                <w:iCs/>
                <w:sz w:val="24"/>
                <w:szCs w:val="24"/>
                <w:lang w:val="lv-LV"/>
              </w:rPr>
              <w:t xml:space="preserve"> Nr. 5.1.1.2.i.0/1/22/A/CFLA/006 ietvaros pētniecības projektus paredzēts īstenot līdz 2024.</w:t>
            </w:r>
            <w:r w:rsidR="00004ED1">
              <w:rPr>
                <w:rFonts w:cs="Times New Roman"/>
                <w:b w:val="0"/>
                <w:iCs/>
                <w:sz w:val="24"/>
                <w:szCs w:val="24"/>
                <w:lang w:val="lv-LV"/>
              </w:rPr>
              <w:t xml:space="preserve"> </w:t>
            </w:r>
            <w:r w:rsidR="0052739C" w:rsidRPr="001B4029">
              <w:rPr>
                <w:rFonts w:cs="Times New Roman"/>
                <w:b w:val="0"/>
                <w:iCs/>
                <w:sz w:val="24"/>
                <w:szCs w:val="24"/>
                <w:lang w:val="lv-LV"/>
              </w:rPr>
              <w:t>gada 31.</w:t>
            </w:r>
            <w:r w:rsidR="00004ED1">
              <w:rPr>
                <w:rFonts w:cs="Times New Roman"/>
                <w:b w:val="0"/>
                <w:iCs/>
                <w:sz w:val="24"/>
                <w:szCs w:val="24"/>
                <w:lang w:val="lv-LV"/>
              </w:rPr>
              <w:t xml:space="preserve"> </w:t>
            </w:r>
            <w:r w:rsidR="0052739C" w:rsidRPr="001B4029">
              <w:rPr>
                <w:rFonts w:cs="Times New Roman"/>
                <w:b w:val="0"/>
                <w:iCs/>
                <w:sz w:val="24"/>
                <w:szCs w:val="24"/>
                <w:lang w:val="lv-LV"/>
              </w:rPr>
              <w:t xml:space="preserve">decembrim. Pēdējā pētniecības projektu atlase modernu ražošanas tehnoloģiju un </w:t>
            </w:r>
            <w:proofErr w:type="spellStart"/>
            <w:r w:rsidR="0052739C" w:rsidRPr="001B4029">
              <w:rPr>
                <w:rFonts w:cs="Times New Roman"/>
                <w:b w:val="0"/>
                <w:iCs/>
                <w:sz w:val="24"/>
                <w:szCs w:val="24"/>
                <w:lang w:val="lv-LV"/>
              </w:rPr>
              <w:t>inženiersistēmu</w:t>
            </w:r>
            <w:proofErr w:type="spellEnd"/>
            <w:r w:rsidR="0052739C" w:rsidRPr="001B4029">
              <w:rPr>
                <w:rFonts w:cs="Times New Roman"/>
                <w:b w:val="0"/>
                <w:iCs/>
                <w:sz w:val="24"/>
                <w:szCs w:val="24"/>
                <w:lang w:val="lv-LV"/>
              </w:rPr>
              <w:t xml:space="preserve"> </w:t>
            </w:r>
            <w:proofErr w:type="spellStart"/>
            <w:r w:rsidR="0052739C" w:rsidRPr="001B4029">
              <w:rPr>
                <w:rFonts w:cs="Times New Roman"/>
                <w:b w:val="0"/>
                <w:iCs/>
                <w:sz w:val="24"/>
                <w:szCs w:val="24"/>
                <w:lang w:val="lv-LV"/>
              </w:rPr>
              <w:t>apakšjomā</w:t>
            </w:r>
            <w:proofErr w:type="spellEnd"/>
            <w:r w:rsidR="0052739C" w:rsidRPr="001B4029">
              <w:rPr>
                <w:rFonts w:cs="Times New Roman"/>
                <w:b w:val="0"/>
                <w:iCs/>
                <w:sz w:val="24"/>
                <w:szCs w:val="24"/>
                <w:lang w:val="lv-LV"/>
              </w:rPr>
              <w:t xml:space="preserve"> notika </w:t>
            </w:r>
            <w:r w:rsidR="00FF468D" w:rsidRPr="001B4029">
              <w:rPr>
                <w:rFonts w:cs="Times New Roman"/>
                <w:b w:val="0"/>
                <w:iCs/>
                <w:sz w:val="24"/>
                <w:szCs w:val="24"/>
                <w:lang w:val="lv-LV"/>
              </w:rPr>
              <w:t>2023.</w:t>
            </w:r>
            <w:r w:rsidR="00004ED1">
              <w:rPr>
                <w:rFonts w:cs="Times New Roman"/>
                <w:b w:val="0"/>
                <w:iCs/>
                <w:sz w:val="24"/>
                <w:szCs w:val="24"/>
                <w:lang w:val="lv-LV"/>
              </w:rPr>
              <w:t xml:space="preserve"> </w:t>
            </w:r>
            <w:r w:rsidR="00FF468D" w:rsidRPr="001B4029">
              <w:rPr>
                <w:rFonts w:cs="Times New Roman"/>
                <w:b w:val="0"/>
                <w:iCs/>
                <w:sz w:val="24"/>
                <w:szCs w:val="24"/>
                <w:lang w:val="lv-LV"/>
              </w:rPr>
              <w:t xml:space="preserve">gada septembrī. Līdzšinējā Kompetences centra pieredze liecina, ka nepieciešami jauni uzsaukumi ne retāk kā reizi gadā, vēlams – reizi pusgadā. Ņemot vērā to, ka projekta Nr. 5.1.1.2.i.0/1/22/A/CFLA/006 ietvaros vairs nav pieejams brīvs finansējums, tad projekta “Mašīnbūves kompetences centra atbalsts pētniecībai” īstenošana nodrošinātu izvēlētās RIS </w:t>
            </w:r>
            <w:proofErr w:type="spellStart"/>
            <w:r w:rsidR="00FF468D" w:rsidRPr="001B4029">
              <w:rPr>
                <w:rFonts w:cs="Times New Roman"/>
                <w:b w:val="0"/>
                <w:iCs/>
                <w:sz w:val="24"/>
                <w:szCs w:val="24"/>
                <w:lang w:val="lv-LV"/>
              </w:rPr>
              <w:t>apakšjomas</w:t>
            </w:r>
            <w:proofErr w:type="spellEnd"/>
            <w:r w:rsidR="00FF468D" w:rsidRPr="001B4029">
              <w:rPr>
                <w:rFonts w:cs="Times New Roman"/>
                <w:b w:val="0"/>
                <w:iCs/>
                <w:sz w:val="24"/>
                <w:szCs w:val="24"/>
                <w:lang w:val="lv-LV"/>
              </w:rPr>
              <w:t xml:space="preserve"> inovāciju atbalsta nepārtrauktību, paredzot pētniecības projektu uzsaukumu pēc līguma ar Centrālo finanšu līgumu aģentūru noslēgšanas 2024. gada jūnijā – jūlijā.</w:t>
            </w:r>
          </w:p>
          <w:p w14:paraId="686DA535" w14:textId="0C58A376" w:rsidR="004C7A60" w:rsidRPr="001B4029" w:rsidRDefault="004C7A60" w:rsidP="00FF468D">
            <w:pPr>
              <w:pStyle w:val="Sarakstarindkopa"/>
              <w:numPr>
                <w:ilvl w:val="0"/>
                <w:numId w:val="5"/>
              </w:numPr>
              <w:jc w:val="both"/>
              <w:rPr>
                <w:rFonts w:cs="Times New Roman"/>
                <w:b w:val="0"/>
                <w:iCs/>
                <w:sz w:val="24"/>
                <w:szCs w:val="24"/>
                <w:lang w:val="lv-LV"/>
              </w:rPr>
            </w:pPr>
            <w:r w:rsidRPr="001B4029">
              <w:rPr>
                <w:rFonts w:cs="Times New Roman"/>
                <w:b w:val="0"/>
                <w:iCs/>
                <w:sz w:val="24"/>
                <w:szCs w:val="24"/>
                <w:lang w:val="lv-LV"/>
              </w:rPr>
              <w:t>nepietiekami valsts ieguldījumi jomas pētniecībā un attīstībā</w:t>
            </w:r>
            <w:r w:rsidR="00FF468D" w:rsidRPr="001B4029">
              <w:rPr>
                <w:rFonts w:cs="Times New Roman"/>
                <w:b w:val="0"/>
                <w:iCs/>
                <w:sz w:val="24"/>
                <w:szCs w:val="24"/>
                <w:lang w:val="lv-LV"/>
              </w:rPr>
              <w:t xml:space="preserve"> - projekta “Mašīnbūves kompetences centra atbalsts pētniecībai” ietvaros būs pieejams atbalsts pētniecībai modernu ražošanas tehnoloģiju un </w:t>
            </w:r>
            <w:proofErr w:type="spellStart"/>
            <w:r w:rsidR="00FF468D" w:rsidRPr="001B4029">
              <w:rPr>
                <w:rFonts w:cs="Times New Roman"/>
                <w:b w:val="0"/>
                <w:iCs/>
                <w:sz w:val="24"/>
                <w:szCs w:val="24"/>
                <w:lang w:val="lv-LV"/>
              </w:rPr>
              <w:t>inženiersistēmu</w:t>
            </w:r>
            <w:proofErr w:type="spellEnd"/>
            <w:r w:rsidR="00FF468D" w:rsidRPr="001B4029">
              <w:rPr>
                <w:rFonts w:cs="Times New Roman"/>
                <w:b w:val="0"/>
                <w:iCs/>
                <w:sz w:val="24"/>
                <w:szCs w:val="24"/>
                <w:lang w:val="lv-LV"/>
              </w:rPr>
              <w:t xml:space="preserve"> </w:t>
            </w:r>
            <w:proofErr w:type="spellStart"/>
            <w:r w:rsidR="00FF468D" w:rsidRPr="001B4029">
              <w:rPr>
                <w:rFonts w:cs="Times New Roman"/>
                <w:b w:val="0"/>
                <w:iCs/>
                <w:sz w:val="24"/>
                <w:szCs w:val="24"/>
                <w:lang w:val="lv-LV"/>
              </w:rPr>
              <w:t>apakšjomā</w:t>
            </w:r>
            <w:proofErr w:type="spellEnd"/>
            <w:r w:rsidR="00FF468D" w:rsidRPr="001B4029">
              <w:rPr>
                <w:rFonts w:cs="Times New Roman"/>
                <w:b w:val="0"/>
                <w:iCs/>
                <w:sz w:val="24"/>
                <w:szCs w:val="24"/>
                <w:lang w:val="lv-LV"/>
              </w:rPr>
              <w:t xml:space="preserve"> 5 6</w:t>
            </w:r>
            <w:r w:rsidR="00D16B4B">
              <w:rPr>
                <w:rFonts w:cs="Times New Roman"/>
                <w:b w:val="0"/>
                <w:iCs/>
                <w:sz w:val="24"/>
                <w:szCs w:val="24"/>
                <w:lang w:val="lv-LV"/>
              </w:rPr>
              <w:t>2</w:t>
            </w:r>
            <w:r w:rsidR="00FF468D" w:rsidRPr="001B4029">
              <w:rPr>
                <w:rFonts w:cs="Times New Roman"/>
                <w:b w:val="0"/>
                <w:iCs/>
                <w:sz w:val="24"/>
                <w:szCs w:val="24"/>
                <w:lang w:val="lv-LV"/>
              </w:rPr>
              <w:t>7 956 EUR apmērā</w:t>
            </w:r>
            <w:r w:rsidRPr="001B4029">
              <w:rPr>
                <w:rFonts w:cs="Times New Roman"/>
                <w:b w:val="0"/>
                <w:iCs/>
                <w:sz w:val="24"/>
                <w:szCs w:val="24"/>
                <w:lang w:val="lv-LV"/>
              </w:rPr>
              <w:t>.</w:t>
            </w:r>
          </w:p>
          <w:p w14:paraId="15400394" w14:textId="671FAA86" w:rsidR="00DB0EA1" w:rsidRPr="001B4029" w:rsidRDefault="004C7A60" w:rsidP="004C7A60">
            <w:pPr>
              <w:jc w:val="both"/>
              <w:rPr>
                <w:rFonts w:ascii="Times New Roman" w:hAnsi="Times New Roman" w:cs="Times New Roman"/>
                <w:iCs/>
                <w:sz w:val="24"/>
                <w:szCs w:val="24"/>
                <w:lang w:val="lv-LV"/>
              </w:rPr>
            </w:pPr>
            <w:r w:rsidRPr="001B4029">
              <w:rPr>
                <w:rFonts w:ascii="Times New Roman" w:hAnsi="Times New Roman" w:cs="Times New Roman"/>
                <w:iCs/>
                <w:sz w:val="24"/>
                <w:szCs w:val="24"/>
                <w:lang w:val="lv-LV"/>
              </w:rPr>
              <w:lastRenderedPageBreak/>
              <w:t>Tādējādi tiks sekmēta tautsaimniecības attīstība</w:t>
            </w:r>
            <w:r w:rsidR="00DB0EA1" w:rsidRPr="001B4029">
              <w:rPr>
                <w:rFonts w:ascii="Times New Roman" w:hAnsi="Times New Roman" w:cs="Times New Roman"/>
                <w:iCs/>
                <w:sz w:val="24"/>
                <w:szCs w:val="24"/>
                <w:lang w:val="lv-LV"/>
              </w:rPr>
              <w:t xml:space="preserve"> u</w:t>
            </w:r>
            <w:r w:rsidRPr="001B4029">
              <w:rPr>
                <w:rFonts w:ascii="Times New Roman" w:hAnsi="Times New Roman" w:cs="Times New Roman"/>
                <w:iCs/>
                <w:sz w:val="24"/>
                <w:szCs w:val="24"/>
                <w:lang w:val="lv-LV"/>
              </w:rPr>
              <w:t xml:space="preserve">n stiprināta Latvijas eksportspēja, vienlaikus nodrošinot atbilstību </w:t>
            </w:r>
            <w:r w:rsidR="00DB0EA1" w:rsidRPr="001B4029">
              <w:rPr>
                <w:rFonts w:ascii="Times New Roman" w:hAnsi="Times New Roman" w:cs="Times New Roman"/>
                <w:iCs/>
                <w:sz w:val="24"/>
                <w:szCs w:val="24"/>
                <w:lang w:val="lv-LV"/>
              </w:rPr>
              <w:t>Nacionālās industriālās politikas mērķi</w:t>
            </w:r>
            <w:r w:rsidRPr="001B4029">
              <w:rPr>
                <w:rFonts w:ascii="Times New Roman" w:hAnsi="Times New Roman" w:cs="Times New Roman"/>
                <w:iCs/>
                <w:sz w:val="24"/>
                <w:szCs w:val="24"/>
                <w:lang w:val="lv-LV"/>
              </w:rPr>
              <w:t>em</w:t>
            </w:r>
            <w:r w:rsidR="00DB0EA1" w:rsidRPr="001B4029">
              <w:rPr>
                <w:rFonts w:ascii="Times New Roman" w:hAnsi="Times New Roman" w:cs="Times New Roman"/>
                <w:iCs/>
                <w:sz w:val="24"/>
                <w:szCs w:val="24"/>
                <w:lang w:val="lv-LV"/>
              </w:rPr>
              <w:t xml:space="preserve"> palielināt eksporta apjomu.</w:t>
            </w:r>
          </w:p>
          <w:p w14:paraId="1CA2B4A2" w14:textId="70E13C88" w:rsidR="002F05BC" w:rsidRPr="001B4029" w:rsidRDefault="002F05BC" w:rsidP="0052739C">
            <w:pPr>
              <w:jc w:val="both"/>
              <w:rPr>
                <w:rFonts w:ascii="Times New Roman" w:hAnsi="Times New Roman" w:cs="Times New Roman"/>
                <w:sz w:val="24"/>
                <w:szCs w:val="24"/>
                <w:lang w:val="lv-LV"/>
              </w:rPr>
            </w:pPr>
          </w:p>
        </w:tc>
      </w:tr>
      <w:tr w:rsidR="003E39F8" w:rsidRPr="001B4029" w14:paraId="56C45F96" w14:textId="77777777" w:rsidTr="003F48B2">
        <w:tc>
          <w:tcPr>
            <w:tcW w:w="9350" w:type="dxa"/>
            <w:gridSpan w:val="4"/>
            <w:shd w:val="clear" w:color="auto" w:fill="D9D9D9" w:themeFill="background1" w:themeFillShade="D9"/>
          </w:tcPr>
          <w:p w14:paraId="25D8FABF" w14:textId="77777777" w:rsidR="003E39F8" w:rsidRPr="001B4029" w:rsidRDefault="003E39F8" w:rsidP="00747B2D">
            <w:pPr>
              <w:jc w:val="both"/>
              <w:rPr>
                <w:rFonts w:ascii="Times New Roman" w:hAnsi="Times New Roman" w:cs="Times New Roman"/>
                <w:b/>
                <w:bCs/>
                <w:sz w:val="24"/>
                <w:szCs w:val="24"/>
                <w:lang w:val="lv-LV"/>
              </w:rPr>
            </w:pPr>
            <w:r w:rsidRPr="001B4029">
              <w:rPr>
                <w:rFonts w:ascii="Times New Roman" w:hAnsi="Times New Roman" w:cs="Times New Roman"/>
                <w:b/>
                <w:bCs/>
                <w:sz w:val="24"/>
                <w:szCs w:val="24"/>
                <w:lang w:val="lv-LV"/>
              </w:rPr>
              <w:lastRenderedPageBreak/>
              <w:t>Plānotās darbības apraksts</w:t>
            </w:r>
          </w:p>
          <w:p w14:paraId="5EB166DF" w14:textId="649EA132" w:rsidR="0066678D" w:rsidRPr="001B4029" w:rsidRDefault="0066678D" w:rsidP="00747B2D">
            <w:pPr>
              <w:jc w:val="both"/>
              <w:rPr>
                <w:rFonts w:ascii="Times New Roman" w:hAnsi="Times New Roman" w:cs="Times New Roman"/>
                <w:sz w:val="24"/>
                <w:szCs w:val="24"/>
                <w:lang w:val="lv-LV"/>
              </w:rPr>
            </w:pPr>
            <w:r w:rsidRPr="001B4029">
              <w:rPr>
                <w:rFonts w:ascii="Times New Roman" w:hAnsi="Times New Roman" w:cs="Times New Roman"/>
                <w:i/>
                <w:iCs/>
                <w:sz w:val="24"/>
                <w:szCs w:val="24"/>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00E71B42" w:rsidRPr="001B4029">
              <w:rPr>
                <w:rFonts w:ascii="Times New Roman" w:hAnsi="Times New Roman" w:cs="Times New Roman"/>
                <w:i/>
                <w:iCs/>
                <w:sz w:val="24"/>
                <w:szCs w:val="24"/>
                <w:lang w:val="lv-LV"/>
              </w:rPr>
              <w:t>a</w:t>
            </w:r>
            <w:r w:rsidRPr="001B4029">
              <w:rPr>
                <w:rFonts w:ascii="Times New Roman" w:hAnsi="Times New Roman" w:cs="Times New Roman"/>
                <w:i/>
                <w:iCs/>
                <w:sz w:val="24"/>
                <w:szCs w:val="24"/>
                <w:lang w:val="lv-LV"/>
              </w:rPr>
              <w:t>, k</w:t>
            </w:r>
            <w:r w:rsidRPr="001B4029">
              <w:rPr>
                <w:rFonts w:ascii="Times New Roman" w:hAnsi="Times New Roman" w:cs="Times New Roman"/>
                <w:bCs/>
                <w:i/>
                <w:iCs/>
                <w:sz w:val="24"/>
                <w:szCs w:val="24"/>
                <w:lang w:val="lv-LV"/>
              </w:rPr>
              <w:t xml:space="preserve">ā veiks </w:t>
            </w:r>
            <w:r w:rsidRPr="001B4029">
              <w:rPr>
                <w:rFonts w:ascii="Times New Roman" w:hAnsi="Times New Roman" w:cs="Times New Roman"/>
                <w:i/>
                <w:iCs/>
                <w:sz w:val="24"/>
                <w:szCs w:val="24"/>
                <w:lang w:val="lv-LV"/>
              </w:rPr>
              <w:t xml:space="preserve">viedās specializācijas </w:t>
            </w:r>
            <w:r w:rsidRPr="001B4029">
              <w:rPr>
                <w:rFonts w:ascii="Times New Roman" w:hAnsi="Times New Roman" w:cs="Times New Roman"/>
                <w:bCs/>
                <w:i/>
                <w:iCs/>
                <w:sz w:val="24"/>
                <w:szCs w:val="24"/>
                <w:lang w:val="lv-LV"/>
              </w:rPr>
              <w:t>ilgtermiņa stratēģijas darbības plānā iekļauto uzdevumu izpildi</w:t>
            </w:r>
            <w:r w:rsidRPr="001B4029">
              <w:rPr>
                <w:rFonts w:ascii="Times New Roman" w:hAnsi="Times New Roman" w:cs="Times New Roman"/>
                <w:i/>
                <w:iCs/>
                <w:sz w:val="24"/>
                <w:szCs w:val="24"/>
                <w:lang w:val="lv-LV"/>
              </w:rPr>
              <w:t>)</w:t>
            </w:r>
          </w:p>
        </w:tc>
      </w:tr>
      <w:tr w:rsidR="0066678D" w:rsidRPr="001B4029" w14:paraId="66C9FE96" w14:textId="77777777" w:rsidTr="003F48B2">
        <w:tc>
          <w:tcPr>
            <w:tcW w:w="9350" w:type="dxa"/>
            <w:gridSpan w:val="4"/>
          </w:tcPr>
          <w:p w14:paraId="27C1AA35" w14:textId="3215E1D5" w:rsidR="002F05BC" w:rsidRPr="001B4029" w:rsidRDefault="002F05BC" w:rsidP="00747B2D">
            <w:pPr>
              <w:jc w:val="both"/>
              <w:rPr>
                <w:rFonts w:ascii="Times New Roman" w:hAnsi="Times New Roman" w:cs="Times New Roman"/>
                <w:i/>
                <w:iCs/>
                <w:sz w:val="24"/>
                <w:szCs w:val="24"/>
                <w:lang w:val="lv-LV"/>
              </w:rPr>
            </w:pPr>
          </w:p>
          <w:p w14:paraId="162E5827" w14:textId="5FC60E12" w:rsidR="00A40D21" w:rsidRPr="001B4029" w:rsidRDefault="00A40D21" w:rsidP="00747B2D">
            <w:pPr>
              <w:jc w:val="both"/>
              <w:rPr>
                <w:rFonts w:ascii="Times New Roman" w:hAnsi="Times New Roman" w:cs="Times New Roman"/>
                <w:iCs/>
                <w:sz w:val="24"/>
                <w:szCs w:val="24"/>
                <w:lang w:val="lv-LV"/>
              </w:rPr>
            </w:pPr>
            <w:r w:rsidRPr="001B4029">
              <w:rPr>
                <w:rFonts w:ascii="Times New Roman" w:hAnsi="Times New Roman" w:cs="Times New Roman"/>
                <w:iCs/>
                <w:sz w:val="24"/>
                <w:szCs w:val="24"/>
                <w:lang w:val="lv-LV"/>
              </w:rPr>
              <w:t>Projekta “Mašīnbūves kompetences centra atbalsts pētniecībai” ietvaros paredzēt turpināt Kompetences centra darbību</w:t>
            </w:r>
            <w:r w:rsidR="000F3620" w:rsidRPr="001B4029">
              <w:rPr>
                <w:rFonts w:ascii="Times New Roman" w:hAnsi="Times New Roman" w:cs="Times New Roman"/>
                <w:iCs/>
                <w:sz w:val="24"/>
                <w:szCs w:val="24"/>
                <w:lang w:val="lv-LV"/>
              </w:rPr>
              <w:t>, atbalstot pētniecības projektus</w:t>
            </w:r>
            <w:r w:rsidRPr="001B4029">
              <w:rPr>
                <w:rFonts w:ascii="Times New Roman" w:hAnsi="Times New Roman" w:cs="Times New Roman"/>
                <w:iCs/>
                <w:sz w:val="24"/>
                <w:szCs w:val="24"/>
                <w:lang w:val="lv-LV"/>
              </w:rPr>
              <w:t xml:space="preserve"> trīs pētniecības virzienos:</w:t>
            </w:r>
          </w:p>
          <w:p w14:paraId="6560DDE3" w14:textId="228E53F8" w:rsidR="00A40D21" w:rsidRPr="001B4029" w:rsidRDefault="00A40D21" w:rsidP="00A40D21">
            <w:pPr>
              <w:pStyle w:val="Sarakstarindkopa"/>
              <w:numPr>
                <w:ilvl w:val="0"/>
                <w:numId w:val="6"/>
              </w:numPr>
              <w:jc w:val="both"/>
              <w:rPr>
                <w:rFonts w:cs="Times New Roman"/>
                <w:b w:val="0"/>
                <w:iCs/>
                <w:sz w:val="24"/>
                <w:szCs w:val="24"/>
                <w:lang w:val="lv-LV"/>
              </w:rPr>
            </w:pPr>
            <w:r w:rsidRPr="001B4029">
              <w:rPr>
                <w:rFonts w:cs="Times New Roman"/>
                <w:b w:val="0"/>
                <w:iCs/>
                <w:sz w:val="24"/>
                <w:szCs w:val="24"/>
                <w:lang w:val="lv-LV"/>
              </w:rPr>
              <w:t xml:space="preserve">Automatizētu </w:t>
            </w:r>
            <w:proofErr w:type="spellStart"/>
            <w:r w:rsidRPr="001B4029">
              <w:rPr>
                <w:rFonts w:cs="Times New Roman"/>
                <w:b w:val="0"/>
                <w:iCs/>
                <w:sz w:val="24"/>
                <w:szCs w:val="24"/>
                <w:lang w:val="lv-LV"/>
              </w:rPr>
              <w:t>inženiersistēmu</w:t>
            </w:r>
            <w:proofErr w:type="spellEnd"/>
            <w:r w:rsidRPr="001B4029">
              <w:rPr>
                <w:rFonts w:cs="Times New Roman"/>
                <w:b w:val="0"/>
                <w:iCs/>
                <w:sz w:val="24"/>
                <w:szCs w:val="24"/>
                <w:lang w:val="lv-LV"/>
              </w:rPr>
              <w:t xml:space="preserve"> ražošanas tehnoloģijas</w:t>
            </w:r>
          </w:p>
          <w:p w14:paraId="4D9B9F2C" w14:textId="77777777" w:rsidR="00A40D21" w:rsidRPr="001B4029" w:rsidRDefault="00A40D21" w:rsidP="00A40D21">
            <w:pPr>
              <w:pStyle w:val="Sarakstarindkopa"/>
              <w:numPr>
                <w:ilvl w:val="0"/>
                <w:numId w:val="6"/>
              </w:numPr>
              <w:rPr>
                <w:rFonts w:cs="Times New Roman"/>
                <w:b w:val="0"/>
                <w:iCs/>
                <w:sz w:val="24"/>
                <w:szCs w:val="24"/>
                <w:lang w:val="lv-LV"/>
              </w:rPr>
            </w:pPr>
            <w:r w:rsidRPr="001B4029">
              <w:rPr>
                <w:rFonts w:cs="Times New Roman"/>
                <w:b w:val="0"/>
                <w:iCs/>
                <w:sz w:val="24"/>
                <w:szCs w:val="24"/>
                <w:lang w:val="lv-LV"/>
              </w:rPr>
              <w:t>Materiālu ražošanas tehnoloģijas</w:t>
            </w:r>
          </w:p>
          <w:p w14:paraId="3AD54394" w14:textId="6D8E2CA9" w:rsidR="00A40D21" w:rsidRPr="001B4029" w:rsidRDefault="00A40D21" w:rsidP="00A40D21">
            <w:pPr>
              <w:pStyle w:val="Sarakstarindkopa"/>
              <w:numPr>
                <w:ilvl w:val="0"/>
                <w:numId w:val="6"/>
              </w:numPr>
              <w:jc w:val="both"/>
              <w:rPr>
                <w:rFonts w:cs="Times New Roman"/>
                <w:b w:val="0"/>
                <w:iCs/>
                <w:sz w:val="24"/>
                <w:szCs w:val="24"/>
                <w:lang w:val="lv-LV"/>
              </w:rPr>
            </w:pPr>
            <w:r w:rsidRPr="001B4029">
              <w:rPr>
                <w:rFonts w:cs="Times New Roman"/>
                <w:b w:val="0"/>
                <w:iCs/>
                <w:sz w:val="24"/>
                <w:szCs w:val="24"/>
                <w:lang w:val="lv-LV"/>
              </w:rPr>
              <w:t>Transporta tehnoloģijas</w:t>
            </w:r>
          </w:p>
          <w:p w14:paraId="02561697" w14:textId="77777777" w:rsidR="00A40D21" w:rsidRPr="001B4029" w:rsidRDefault="00A40D21" w:rsidP="00A40D21">
            <w:pPr>
              <w:jc w:val="both"/>
              <w:rPr>
                <w:rFonts w:cs="Times New Roman"/>
                <w:iCs/>
                <w:sz w:val="24"/>
                <w:szCs w:val="24"/>
                <w:lang w:val="lv-LV"/>
              </w:rPr>
            </w:pPr>
          </w:p>
          <w:p w14:paraId="2687E918" w14:textId="5B3C952B" w:rsidR="002F05BC" w:rsidRPr="001B4029" w:rsidRDefault="00D15B53" w:rsidP="00747B2D">
            <w:pPr>
              <w:jc w:val="both"/>
              <w:rPr>
                <w:rFonts w:ascii="Times New Roman" w:hAnsi="Times New Roman" w:cs="Times New Roman"/>
                <w:b/>
                <w:i/>
                <w:iCs/>
                <w:sz w:val="24"/>
                <w:szCs w:val="24"/>
                <w:lang w:val="lv-LV"/>
              </w:rPr>
            </w:pPr>
            <w:r w:rsidRPr="001B4029">
              <w:rPr>
                <w:rFonts w:ascii="Times New Roman" w:hAnsi="Times New Roman" w:cs="Times New Roman"/>
                <w:b/>
                <w:i/>
                <w:iCs/>
                <w:sz w:val="24"/>
                <w:szCs w:val="24"/>
                <w:lang w:val="lv-LV"/>
              </w:rPr>
              <w:t>S</w:t>
            </w:r>
            <w:r w:rsidR="002F05BC" w:rsidRPr="001B4029">
              <w:rPr>
                <w:rFonts w:ascii="Times New Roman" w:hAnsi="Times New Roman" w:cs="Times New Roman"/>
                <w:b/>
                <w:i/>
                <w:iCs/>
                <w:sz w:val="24"/>
                <w:szCs w:val="24"/>
                <w:lang w:val="lv-LV"/>
              </w:rPr>
              <w:t>adarbības aktivitātes atbilstoši pētniecības virzieniem</w:t>
            </w:r>
          </w:p>
          <w:p w14:paraId="5A53C90A" w14:textId="77777777" w:rsidR="00A40D21" w:rsidRPr="001B4029" w:rsidRDefault="00A40D21" w:rsidP="00747B2D">
            <w:pPr>
              <w:jc w:val="both"/>
              <w:rPr>
                <w:rFonts w:ascii="Times New Roman" w:hAnsi="Times New Roman" w:cs="Times New Roman"/>
                <w:iCs/>
                <w:sz w:val="24"/>
                <w:szCs w:val="24"/>
                <w:lang w:val="lv-LV"/>
              </w:rPr>
            </w:pPr>
          </w:p>
          <w:p w14:paraId="2207F069" w14:textId="33E5AD4B" w:rsidR="00DB0EA1" w:rsidRPr="001B4029" w:rsidRDefault="000F3620" w:rsidP="00747B2D">
            <w:pPr>
              <w:jc w:val="both"/>
              <w:rPr>
                <w:rFonts w:ascii="Times New Roman" w:hAnsi="Times New Roman" w:cs="Times New Roman"/>
                <w:iCs/>
                <w:sz w:val="24"/>
                <w:szCs w:val="24"/>
                <w:lang w:val="lv-LV"/>
              </w:rPr>
            </w:pPr>
            <w:r w:rsidRPr="001B4029">
              <w:rPr>
                <w:rFonts w:ascii="Times New Roman" w:hAnsi="Times New Roman" w:cs="Times New Roman"/>
                <w:iCs/>
                <w:sz w:val="24"/>
                <w:szCs w:val="24"/>
                <w:lang w:val="lv-LV"/>
              </w:rPr>
              <w:t>Mašīnbūves nozare pēc būtības ir vēr</w:t>
            </w:r>
            <w:r w:rsidR="00004ED1">
              <w:rPr>
                <w:rFonts w:ascii="Times New Roman" w:hAnsi="Times New Roman" w:cs="Times New Roman"/>
                <w:iCs/>
                <w:sz w:val="24"/>
                <w:szCs w:val="24"/>
                <w:lang w:val="lv-LV"/>
              </w:rPr>
              <w:t>s</w:t>
            </w:r>
            <w:r w:rsidRPr="001B4029">
              <w:rPr>
                <w:rFonts w:ascii="Times New Roman" w:hAnsi="Times New Roman" w:cs="Times New Roman"/>
                <w:iCs/>
                <w:sz w:val="24"/>
                <w:szCs w:val="24"/>
                <w:lang w:val="lv-LV"/>
              </w:rPr>
              <w:t>ta uz starpnozaru sadarbību, jo tā apgādā ar produktiem un tehnoloģijām visas pārējās tautsaimniecības nozares.</w:t>
            </w:r>
          </w:p>
          <w:p w14:paraId="41B3C25A" w14:textId="35CFBF38" w:rsidR="00D15B53" w:rsidRPr="001B4029" w:rsidRDefault="00D15B53" w:rsidP="00D15B53">
            <w:pPr>
              <w:keepNext/>
              <w:jc w:val="center"/>
              <w:rPr>
                <w:rFonts w:ascii="Times New Roman" w:hAnsi="Times New Roman" w:cs="Times New Roman"/>
                <w:b/>
                <w:iCs/>
                <w:sz w:val="24"/>
                <w:szCs w:val="24"/>
                <w:lang w:val="lv-LV"/>
              </w:rPr>
            </w:pPr>
            <w:r w:rsidRPr="001B4029">
              <w:rPr>
                <w:rFonts w:ascii="Times New Roman" w:hAnsi="Times New Roman" w:cs="Times New Roman"/>
                <w:b/>
                <w:iCs/>
                <w:sz w:val="24"/>
                <w:szCs w:val="24"/>
                <w:lang w:val="lv-LV"/>
              </w:rPr>
              <w:t>Mašīnbūves un metālapstrādes mērķa sektori</w:t>
            </w:r>
          </w:p>
          <w:p w14:paraId="4A941478" w14:textId="23818DBD" w:rsidR="004C0415" w:rsidRPr="001B4029" w:rsidRDefault="004C0415" w:rsidP="00747B2D">
            <w:pPr>
              <w:jc w:val="both"/>
              <w:rPr>
                <w:rFonts w:ascii="Times New Roman" w:hAnsi="Times New Roman" w:cs="Times New Roman"/>
                <w:iCs/>
                <w:sz w:val="24"/>
                <w:szCs w:val="24"/>
                <w:lang w:val="lv-LV"/>
              </w:rPr>
            </w:pPr>
            <w:r w:rsidRPr="001B4029">
              <w:rPr>
                <w:noProof/>
                <w:lang w:val="lv-LV" w:eastAsia="lv-LV"/>
              </w:rPr>
              <w:drawing>
                <wp:inline distT="0" distB="0" distL="0" distR="0" wp14:anchorId="3C275AA3" wp14:editId="4CCCE3EC">
                  <wp:extent cx="5943600" cy="4225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25290"/>
                          </a:xfrm>
                          <a:prstGeom prst="rect">
                            <a:avLst/>
                          </a:prstGeom>
                        </pic:spPr>
                      </pic:pic>
                    </a:graphicData>
                  </a:graphic>
                </wp:inline>
              </w:drawing>
            </w:r>
          </w:p>
          <w:p w14:paraId="78EF2981" w14:textId="77777777" w:rsidR="00D15B53" w:rsidRPr="001B4029" w:rsidRDefault="00D15B53" w:rsidP="00D15B53">
            <w:pPr>
              <w:spacing w:before="120" w:after="120"/>
              <w:jc w:val="both"/>
              <w:rPr>
                <w:rFonts w:ascii="Times New Roman" w:hAnsi="Times New Roman" w:cs="Times New Roman"/>
                <w:iCs/>
                <w:sz w:val="24"/>
                <w:szCs w:val="24"/>
                <w:lang w:val="lv-LV"/>
              </w:rPr>
            </w:pPr>
            <w:r w:rsidRPr="001B4029">
              <w:rPr>
                <w:rFonts w:ascii="Times New Roman" w:hAnsi="Times New Roman" w:cs="Times New Roman"/>
                <w:iCs/>
                <w:sz w:val="24"/>
                <w:szCs w:val="24"/>
                <w:lang w:val="lv-LV"/>
              </w:rPr>
              <w:lastRenderedPageBreak/>
              <w:t>Avots: MASOC nozares pētījums (2021), % no respondentiem</w:t>
            </w:r>
          </w:p>
          <w:p w14:paraId="6B7AFD14" w14:textId="1883CECA" w:rsidR="00D15B53" w:rsidRPr="001B4029" w:rsidRDefault="00D15B53" w:rsidP="00D15B53">
            <w:pPr>
              <w:spacing w:before="120" w:after="120"/>
              <w:jc w:val="both"/>
              <w:rPr>
                <w:rFonts w:ascii="Times New Roman" w:hAnsi="Times New Roman" w:cs="Times New Roman"/>
                <w:iCs/>
                <w:sz w:val="24"/>
                <w:szCs w:val="24"/>
                <w:lang w:val="lv-LV"/>
              </w:rPr>
            </w:pPr>
            <w:r w:rsidRPr="001B4029">
              <w:rPr>
                <w:rFonts w:ascii="Times New Roman" w:hAnsi="Times New Roman" w:cs="Times New Roman"/>
                <w:iCs/>
                <w:sz w:val="24"/>
                <w:szCs w:val="24"/>
                <w:lang w:val="lv-LV"/>
              </w:rPr>
              <w:t>Pētījuma rezultāti parāda galvenos virzienus, kur sadarbībā ar pārstāvjiem no mērķa nozarēm pastāv iespējas attīstīt jaunus produktus un tehnoloģijas Kompetences centra ietvaros, piemēram, būvniecība, auto rūpniecība, enerģētika, kokapstrāde, pārtikas rūpniecība.</w:t>
            </w:r>
          </w:p>
          <w:p w14:paraId="684BD2BD" w14:textId="1E73F9D5" w:rsidR="00D15B53" w:rsidRPr="001B4029" w:rsidRDefault="00D15B53" w:rsidP="00D15B53">
            <w:pPr>
              <w:spacing w:before="120" w:after="120"/>
              <w:jc w:val="both"/>
              <w:rPr>
                <w:rFonts w:ascii="Times New Roman" w:hAnsi="Times New Roman" w:cs="Times New Roman"/>
                <w:iCs/>
                <w:sz w:val="24"/>
                <w:szCs w:val="24"/>
                <w:lang w:val="lv-LV"/>
              </w:rPr>
            </w:pPr>
            <w:r w:rsidRPr="001B4029">
              <w:rPr>
                <w:rFonts w:ascii="Times New Roman" w:hAnsi="Times New Roman" w:cs="Times New Roman"/>
                <w:iCs/>
                <w:sz w:val="24"/>
                <w:szCs w:val="24"/>
                <w:lang w:val="lv-LV"/>
              </w:rPr>
              <w:t>Papildus kā potenciālās starpnozaru sadarbības jomas ir minams IT sektors, kura iesaiste ir būtiska digitalizācijas risinājumu integrēšanā pie jaunu produktu izstrādes, kā arī medicīnas nozare, kur pastāv iespējas attīstīt jaunus produktus ar īpaši augstu pievienoto vērtību.</w:t>
            </w:r>
          </w:p>
          <w:p w14:paraId="49641650" w14:textId="3F83AD0D" w:rsidR="000F3620" w:rsidRPr="001B4029" w:rsidRDefault="00D15B53" w:rsidP="00D15B53">
            <w:pPr>
              <w:spacing w:before="120" w:after="120"/>
              <w:jc w:val="both"/>
              <w:rPr>
                <w:rFonts w:ascii="Times New Roman" w:hAnsi="Times New Roman" w:cs="Times New Roman"/>
                <w:iCs/>
                <w:sz w:val="24"/>
                <w:szCs w:val="24"/>
                <w:lang w:val="lv-LV"/>
              </w:rPr>
            </w:pPr>
            <w:r w:rsidRPr="001B4029">
              <w:rPr>
                <w:rFonts w:ascii="Times New Roman" w:hAnsi="Times New Roman" w:cs="Times New Roman"/>
                <w:iCs/>
                <w:sz w:val="24"/>
                <w:szCs w:val="24"/>
                <w:lang w:val="lv-LV"/>
              </w:rPr>
              <w:t xml:space="preserve">Starpnozaru sadarbības ietvaros projektā tiek atbalstīti starpnozaru sadarbības </w:t>
            </w:r>
            <w:r w:rsidR="00004ED1" w:rsidRPr="001B4029">
              <w:rPr>
                <w:rFonts w:ascii="Times New Roman" w:hAnsi="Times New Roman" w:cs="Times New Roman"/>
                <w:iCs/>
                <w:sz w:val="24"/>
                <w:szCs w:val="24"/>
                <w:lang w:val="lv-LV"/>
              </w:rPr>
              <w:t>pēt</w:t>
            </w:r>
            <w:r w:rsidR="00004ED1">
              <w:rPr>
                <w:rFonts w:ascii="Times New Roman" w:hAnsi="Times New Roman" w:cs="Times New Roman"/>
                <w:iCs/>
                <w:sz w:val="24"/>
                <w:szCs w:val="24"/>
                <w:lang w:val="lv-LV"/>
              </w:rPr>
              <w:t>niecības</w:t>
            </w:r>
            <w:r w:rsidR="00004ED1" w:rsidRPr="001B4029">
              <w:rPr>
                <w:rFonts w:ascii="Times New Roman" w:hAnsi="Times New Roman" w:cs="Times New Roman"/>
                <w:iCs/>
                <w:sz w:val="24"/>
                <w:szCs w:val="24"/>
                <w:lang w:val="lv-LV"/>
              </w:rPr>
              <w:t xml:space="preserve"> </w:t>
            </w:r>
            <w:r w:rsidRPr="001B4029">
              <w:rPr>
                <w:rFonts w:ascii="Times New Roman" w:hAnsi="Times New Roman" w:cs="Times New Roman"/>
                <w:iCs/>
                <w:sz w:val="24"/>
                <w:szCs w:val="24"/>
                <w:lang w:val="lv-LV"/>
              </w:rPr>
              <w:t>projekti – divu vai vairāku dažādu nozaru (ar dažādiem saimnieciskās darbības statistiskās klasifikācijas kodiem) saimnieciskās darbības veicēju dalīšanās vai apmaiņa ar informāciju, resursiem, tehnoloģijām, metodēm, lai kopīgi izstrādātu jaunu produktu vai pakalpojumu, kur, atsevišķi darbojoties, nevar sasniegt vēlamo rezultātu.</w:t>
            </w:r>
          </w:p>
          <w:p w14:paraId="34589497" w14:textId="77511C2F" w:rsidR="0066678D" w:rsidRPr="001B4029" w:rsidRDefault="0074303F" w:rsidP="00747B2D">
            <w:pPr>
              <w:jc w:val="both"/>
              <w:rPr>
                <w:rFonts w:ascii="Times New Roman" w:hAnsi="Times New Roman" w:cs="Times New Roman"/>
                <w:b/>
                <w:bCs/>
                <w:i/>
                <w:iCs/>
                <w:sz w:val="24"/>
                <w:szCs w:val="24"/>
                <w:lang w:val="lv-LV"/>
              </w:rPr>
            </w:pPr>
            <w:r w:rsidRPr="001B4029">
              <w:rPr>
                <w:rFonts w:ascii="Times New Roman" w:hAnsi="Times New Roman" w:cs="Times New Roman"/>
                <w:b/>
                <w:i/>
                <w:iCs/>
                <w:sz w:val="24"/>
                <w:szCs w:val="24"/>
                <w:lang w:val="lv-LV"/>
              </w:rPr>
              <w:t>V</w:t>
            </w:r>
            <w:r w:rsidR="002F05BC" w:rsidRPr="001B4029">
              <w:rPr>
                <w:rFonts w:ascii="Times New Roman" w:hAnsi="Times New Roman" w:cs="Times New Roman"/>
                <w:b/>
                <w:i/>
                <w:iCs/>
                <w:sz w:val="24"/>
                <w:szCs w:val="24"/>
                <w:lang w:val="lv-LV"/>
              </w:rPr>
              <w:t xml:space="preserve">iedās specializācijas </w:t>
            </w:r>
            <w:r w:rsidR="002F05BC" w:rsidRPr="001B4029">
              <w:rPr>
                <w:rFonts w:ascii="Times New Roman" w:hAnsi="Times New Roman" w:cs="Times New Roman"/>
                <w:b/>
                <w:bCs/>
                <w:i/>
                <w:iCs/>
                <w:sz w:val="24"/>
                <w:szCs w:val="24"/>
                <w:lang w:val="lv-LV"/>
              </w:rPr>
              <w:t>ilgtermiņa stra</w:t>
            </w:r>
            <w:r w:rsidRPr="001B4029">
              <w:rPr>
                <w:rFonts w:ascii="Times New Roman" w:hAnsi="Times New Roman" w:cs="Times New Roman"/>
                <w:b/>
                <w:bCs/>
                <w:i/>
                <w:iCs/>
                <w:sz w:val="24"/>
                <w:szCs w:val="24"/>
                <w:lang w:val="lv-LV"/>
              </w:rPr>
              <w:t>tēģijas darbības plānā iekļauto uzdevumu izpilde</w:t>
            </w:r>
          </w:p>
          <w:p w14:paraId="238ABFC6" w14:textId="77777777" w:rsidR="0074303F" w:rsidRPr="001B4029" w:rsidRDefault="0074303F" w:rsidP="00747B2D">
            <w:pPr>
              <w:jc w:val="both"/>
              <w:rPr>
                <w:rFonts w:ascii="Times New Roman" w:hAnsi="Times New Roman" w:cs="Times New Roman"/>
                <w:bCs/>
                <w:i/>
                <w:iCs/>
                <w:sz w:val="24"/>
                <w:szCs w:val="24"/>
                <w:lang w:val="lv-LV"/>
              </w:rPr>
            </w:pPr>
          </w:p>
          <w:p w14:paraId="2053DBE1" w14:textId="30E7E1A9" w:rsidR="000F3620" w:rsidRPr="001B4029" w:rsidRDefault="000F3620" w:rsidP="0074303F">
            <w:pPr>
              <w:jc w:val="both"/>
              <w:rPr>
                <w:rFonts w:ascii="Times New Roman" w:hAnsi="Times New Roman" w:cs="Times New Roman"/>
                <w:bCs/>
                <w:sz w:val="24"/>
                <w:szCs w:val="24"/>
                <w:lang w:val="lv-LV"/>
              </w:rPr>
            </w:pPr>
            <w:r w:rsidRPr="001B4029">
              <w:rPr>
                <w:rFonts w:ascii="Times New Roman" w:hAnsi="Times New Roman" w:cs="Times New Roman"/>
                <w:bCs/>
                <w:sz w:val="24"/>
                <w:szCs w:val="24"/>
                <w:lang w:val="lv-LV"/>
              </w:rPr>
              <w:t>Projektā tiks veikta viedās specializācijas ilgtermiņa stratēģijas darbības plānā iekļauto uzdevumu izpilde</w:t>
            </w:r>
            <w:r w:rsidR="0074303F" w:rsidRPr="001B4029">
              <w:rPr>
                <w:rFonts w:ascii="Times New Roman" w:hAnsi="Times New Roman" w:cs="Times New Roman"/>
                <w:bCs/>
                <w:sz w:val="24"/>
                <w:szCs w:val="24"/>
                <w:lang w:val="lv-LV"/>
              </w:rPr>
              <w:t>, jo saskaņā ar RIS3 jomas “</w:t>
            </w:r>
            <w:proofErr w:type="spellStart"/>
            <w:r w:rsidR="0074303F" w:rsidRPr="001B4029">
              <w:rPr>
                <w:rFonts w:ascii="Times New Roman" w:hAnsi="Times New Roman" w:cs="Times New Roman"/>
                <w:bCs/>
                <w:sz w:val="24"/>
                <w:szCs w:val="24"/>
                <w:lang w:val="lv-LV"/>
              </w:rPr>
              <w:t>Fotonika</w:t>
            </w:r>
            <w:proofErr w:type="spellEnd"/>
            <w:r w:rsidR="0074303F" w:rsidRPr="001B4029">
              <w:rPr>
                <w:rFonts w:ascii="Times New Roman" w:hAnsi="Times New Roman" w:cs="Times New Roman"/>
                <w:bCs/>
                <w:sz w:val="24"/>
                <w:szCs w:val="24"/>
                <w:lang w:val="lv-LV"/>
              </w:rPr>
              <w:t xml:space="preserve"> un viedie materiāli, tehnoloģijas un </w:t>
            </w:r>
            <w:proofErr w:type="spellStart"/>
            <w:r w:rsidR="0074303F" w:rsidRPr="001B4029">
              <w:rPr>
                <w:rFonts w:ascii="Times New Roman" w:hAnsi="Times New Roman" w:cs="Times New Roman"/>
                <w:bCs/>
                <w:sz w:val="24"/>
                <w:szCs w:val="24"/>
                <w:lang w:val="lv-LV"/>
              </w:rPr>
              <w:t>inženiersistēmas</w:t>
            </w:r>
            <w:proofErr w:type="spellEnd"/>
            <w:r w:rsidR="0074303F" w:rsidRPr="001B4029">
              <w:rPr>
                <w:rFonts w:ascii="Times New Roman" w:hAnsi="Times New Roman" w:cs="Times New Roman"/>
                <w:bCs/>
                <w:sz w:val="24"/>
                <w:szCs w:val="24"/>
                <w:lang w:val="lv-LV"/>
              </w:rPr>
              <w:t>” rīcības plānu 2023. gadam rīcības virziena “Inovācijas un pētniecība” ietvaros šajā projektā tiks nodrošināta pasākuma “Kompetences centru programmas kapacitātes palielināšana” īstenošana un tādējādi palielināti komersantu ieguldījumi pētniecībā un attīstībā.</w:t>
            </w:r>
          </w:p>
          <w:p w14:paraId="1C6EEEC0" w14:textId="5D991F72" w:rsidR="007B4D32" w:rsidRPr="001B4029" w:rsidRDefault="0074303F" w:rsidP="00747B2D">
            <w:pPr>
              <w:jc w:val="both"/>
              <w:rPr>
                <w:rFonts w:ascii="Times New Roman" w:hAnsi="Times New Roman" w:cs="Times New Roman"/>
                <w:b/>
                <w:bCs/>
                <w:sz w:val="24"/>
                <w:szCs w:val="24"/>
                <w:lang w:val="lv-LV"/>
              </w:rPr>
            </w:pPr>
            <w:r w:rsidRPr="001B4029">
              <w:rPr>
                <w:rFonts w:ascii="Times New Roman" w:hAnsi="Times New Roman" w:cs="Times New Roman"/>
                <w:b/>
                <w:bCs/>
                <w:sz w:val="24"/>
                <w:szCs w:val="24"/>
                <w:lang w:val="lv-LV"/>
              </w:rPr>
              <w:t xml:space="preserve"> </w:t>
            </w:r>
          </w:p>
        </w:tc>
      </w:tr>
      <w:tr w:rsidR="00902D63" w:rsidRPr="001B4029" w14:paraId="2759D9CB" w14:textId="77777777" w:rsidTr="003F48B2">
        <w:tc>
          <w:tcPr>
            <w:tcW w:w="9350" w:type="dxa"/>
            <w:gridSpan w:val="4"/>
            <w:shd w:val="clear" w:color="auto" w:fill="D9D9D9" w:themeFill="background1" w:themeFillShade="D9"/>
          </w:tcPr>
          <w:p w14:paraId="1C092EEC" w14:textId="4352C08C" w:rsidR="00902D63" w:rsidRPr="001B4029" w:rsidRDefault="00902D63" w:rsidP="00B37CC1">
            <w:pPr>
              <w:pStyle w:val="Sarakstarindkopa"/>
              <w:numPr>
                <w:ilvl w:val="0"/>
                <w:numId w:val="4"/>
              </w:numPr>
              <w:ind w:left="451"/>
              <w:jc w:val="both"/>
              <w:rPr>
                <w:rFonts w:cs="Times New Roman"/>
                <w:bCs/>
                <w:sz w:val="24"/>
                <w:szCs w:val="24"/>
                <w:lang w:val="lv-LV"/>
              </w:rPr>
            </w:pPr>
            <w:r w:rsidRPr="001B4029">
              <w:rPr>
                <w:rFonts w:cs="Times New Roman"/>
                <w:bCs/>
                <w:sz w:val="24"/>
                <w:szCs w:val="24"/>
                <w:lang w:val="lv-LV"/>
              </w:rPr>
              <w:lastRenderedPageBreak/>
              <w:t xml:space="preserve">Institucionālā uzbūve </w:t>
            </w:r>
          </w:p>
        </w:tc>
      </w:tr>
      <w:tr w:rsidR="007F29D1" w:rsidRPr="001B4029" w14:paraId="4B10AC5D" w14:textId="77777777" w:rsidTr="009C04DD">
        <w:trPr>
          <w:trHeight w:val="239"/>
        </w:trPr>
        <w:tc>
          <w:tcPr>
            <w:tcW w:w="2252" w:type="dxa"/>
            <w:shd w:val="clear" w:color="auto" w:fill="F2F2F2" w:themeFill="background1" w:themeFillShade="F2"/>
          </w:tcPr>
          <w:p w14:paraId="261F4287" w14:textId="77777777" w:rsidR="00FD5274" w:rsidRPr="001B4029" w:rsidRDefault="00FD5274"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Vadības shēma</w:t>
            </w:r>
          </w:p>
          <w:p w14:paraId="10BB2C5E" w14:textId="24D24EF7"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0736A948" w14:textId="55E78573" w:rsidR="00214EB4" w:rsidRPr="001B4029" w:rsidRDefault="002F05BC" w:rsidP="0024654D">
            <w:pPr>
              <w:spacing w:before="120" w:after="1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Kompetences centra institucionālā uzbūve paredz dalībnieku sapulci, valdi, Kompetences centra vadītāju, pētniecības projektu </w:t>
            </w:r>
            <w:r w:rsidR="0024654D" w:rsidRPr="001B4029">
              <w:rPr>
                <w:rFonts w:ascii="Times New Roman" w:hAnsi="Times New Roman" w:cs="Times New Roman"/>
                <w:sz w:val="24"/>
                <w:szCs w:val="24"/>
                <w:lang w:val="lv-LV"/>
              </w:rPr>
              <w:t>vērtēšanas komisiju</w:t>
            </w:r>
            <w:r w:rsidRPr="001B4029">
              <w:rPr>
                <w:rFonts w:ascii="Times New Roman" w:hAnsi="Times New Roman" w:cs="Times New Roman"/>
                <w:sz w:val="24"/>
                <w:szCs w:val="24"/>
                <w:lang w:val="lv-LV"/>
              </w:rPr>
              <w:t xml:space="preserve"> un trīs zinātnisko</w:t>
            </w:r>
            <w:r w:rsidR="00214EB4" w:rsidRPr="001B4029">
              <w:rPr>
                <w:rFonts w:ascii="Times New Roman" w:hAnsi="Times New Roman" w:cs="Times New Roman"/>
                <w:sz w:val="24"/>
                <w:szCs w:val="24"/>
                <w:lang w:val="lv-LV"/>
              </w:rPr>
              <w:t xml:space="preserve"> virzienu vadītājus. </w:t>
            </w:r>
          </w:p>
          <w:p w14:paraId="18A3BB8C" w14:textId="77777777" w:rsidR="00FD5274" w:rsidRPr="001B4029" w:rsidRDefault="00214EB4" w:rsidP="0024654D">
            <w:pPr>
              <w:spacing w:before="120" w:after="1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Kompetences centra dalībnieku kopsapulcēs tiek iecelta un apstiprināta Sabiedrības valde. Kompetences centra valde nodrošina Kompetences centra vadību. Nepieciešamības gadījumā valde sasauc dalībnieku sapulci, lai lemtu par jautājumiem tās kompetencē.</w:t>
            </w:r>
          </w:p>
          <w:p w14:paraId="2C2ABB48" w14:textId="5E1619CE" w:rsidR="00214EB4" w:rsidRPr="001B4029" w:rsidRDefault="00214EB4" w:rsidP="0024654D">
            <w:pPr>
              <w:spacing w:before="120" w:after="120" w:line="276" w:lineRule="auto"/>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Kompetences centra vadītājs plāno, organizē un vada Kompetences centra darbu atbilstoši tā </w:t>
            </w:r>
            <w:r w:rsidR="0024654D" w:rsidRPr="001B4029">
              <w:rPr>
                <w:rFonts w:ascii="Times New Roman" w:hAnsi="Times New Roman" w:cs="Times New Roman"/>
                <w:sz w:val="24"/>
                <w:szCs w:val="24"/>
                <w:lang w:val="lv-LV"/>
              </w:rPr>
              <w:t>darbības plānam</w:t>
            </w:r>
            <w:r w:rsidRPr="001B4029">
              <w:rPr>
                <w:rFonts w:ascii="Times New Roman" w:hAnsi="Times New Roman" w:cs="Times New Roman"/>
                <w:sz w:val="24"/>
                <w:szCs w:val="24"/>
                <w:lang w:val="lv-LV"/>
              </w:rPr>
              <w:t xml:space="preserve">, misijai un mērķiem, kontrolē Kompetences centra un pētniecības projektu izpildi, nodrošina komunikāciju ar ieinteresētajām pusēm. Nepieciešamības gadījumā Kompetences centra vadītājs sasauc Kompetences centra valdes sēdi, lai lemtu par jautājumiem tās kompetencē. </w:t>
            </w:r>
          </w:p>
          <w:p w14:paraId="20B70FFA" w14:textId="77777777" w:rsidR="00214EB4" w:rsidRPr="001B4029" w:rsidRDefault="0024654D" w:rsidP="0024654D">
            <w:pPr>
              <w:spacing w:before="120" w:after="120" w:line="276" w:lineRule="auto"/>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Zinātnisko virzienu vadītāji pārrauga pētniecības projektu īstenošanu, lai nodrošinātu to zinātnisko kvalitāti, pētniecības projektu starpposmu un gala rezultātu izvērtēšanā sniedz zinātnisku novērtējumu par pētniecības projekta ieviešanas gaitu.</w:t>
            </w:r>
          </w:p>
          <w:p w14:paraId="2C581B00" w14:textId="1E8946D9" w:rsidR="0024654D" w:rsidRPr="001B4029" w:rsidRDefault="0024654D" w:rsidP="0024654D">
            <w:pPr>
              <w:spacing w:before="120" w:after="120" w:line="276" w:lineRule="auto"/>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Kompetences centra projekta sekmīgas īstenošanas nodrošināšanai paredzēts piesaistīt ārpakalpojuma sniedzēju, kas nodrošinās </w:t>
            </w:r>
            <w:r w:rsidRPr="001B4029">
              <w:rPr>
                <w:rFonts w:ascii="Times New Roman" w:hAnsi="Times New Roman" w:cs="Times New Roman"/>
                <w:sz w:val="24"/>
                <w:szCs w:val="24"/>
                <w:lang w:val="lv-LV"/>
              </w:rPr>
              <w:lastRenderedPageBreak/>
              <w:t>juridiskos, grāmatvedības, lietvedības un tulkošanas pakalpojumus, kas nepieciešami kompetences centra darbības nodrošināšanai un būs atbildīgs par pārskatu sagatavošanu, grozījumu sagatavošanu, iepirkumu veikšanu un ikdienas pētniecības projektu uzraudzību.</w:t>
            </w:r>
          </w:p>
        </w:tc>
      </w:tr>
      <w:tr w:rsidR="007F29D1" w:rsidRPr="001B4029" w14:paraId="67AB6504" w14:textId="77777777" w:rsidTr="009C04DD">
        <w:trPr>
          <w:trHeight w:val="237"/>
        </w:trPr>
        <w:tc>
          <w:tcPr>
            <w:tcW w:w="2252" w:type="dxa"/>
            <w:shd w:val="clear" w:color="auto" w:fill="F2F2F2" w:themeFill="background1" w:themeFillShade="F2"/>
          </w:tcPr>
          <w:p w14:paraId="1C78E7EB" w14:textId="29ECA95C" w:rsidR="00FD5274" w:rsidRPr="001B4029" w:rsidRDefault="00FD5274"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lastRenderedPageBreak/>
              <w:t>Darbības joma</w:t>
            </w:r>
          </w:p>
          <w:p w14:paraId="10246B2B" w14:textId="332C1D9E"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76745345" w14:textId="063E23F5" w:rsidR="00FD5274" w:rsidRPr="001B4029" w:rsidRDefault="007C2005" w:rsidP="00747B2D">
            <w:pPr>
              <w:jc w:val="both"/>
              <w:rPr>
                <w:rFonts w:ascii="Times New Roman" w:hAnsi="Times New Roman" w:cs="Times New Roman"/>
                <w:sz w:val="24"/>
                <w:szCs w:val="24"/>
                <w:lang w:val="lv-LV"/>
              </w:rPr>
            </w:pPr>
            <w:proofErr w:type="spellStart"/>
            <w:r w:rsidRPr="001B4029">
              <w:rPr>
                <w:rFonts w:ascii="Times New Roman" w:hAnsi="Times New Roman" w:cs="Times New Roman"/>
                <w:sz w:val="24"/>
                <w:szCs w:val="24"/>
                <w:lang w:val="lv-LV"/>
              </w:rPr>
              <w:t>Fotonika</w:t>
            </w:r>
            <w:proofErr w:type="spellEnd"/>
            <w:r w:rsidRPr="001B4029">
              <w:rPr>
                <w:rFonts w:ascii="Times New Roman" w:hAnsi="Times New Roman" w:cs="Times New Roman"/>
                <w:sz w:val="24"/>
                <w:szCs w:val="24"/>
                <w:lang w:val="lv-LV"/>
              </w:rPr>
              <w:t xml:space="preserve"> un viedie materiāli, tehnoloģijas un </w:t>
            </w:r>
            <w:proofErr w:type="spellStart"/>
            <w:r w:rsidRPr="001B4029">
              <w:rPr>
                <w:rFonts w:ascii="Times New Roman" w:hAnsi="Times New Roman" w:cs="Times New Roman"/>
                <w:sz w:val="24"/>
                <w:szCs w:val="24"/>
                <w:lang w:val="lv-LV"/>
              </w:rPr>
              <w:t>inženiersistēmas</w:t>
            </w:r>
            <w:proofErr w:type="spellEnd"/>
          </w:p>
        </w:tc>
      </w:tr>
      <w:tr w:rsidR="007F29D1" w:rsidRPr="001B4029" w14:paraId="3B82FCA3" w14:textId="77777777" w:rsidTr="009C04DD">
        <w:trPr>
          <w:trHeight w:val="237"/>
        </w:trPr>
        <w:tc>
          <w:tcPr>
            <w:tcW w:w="2252" w:type="dxa"/>
            <w:shd w:val="clear" w:color="auto" w:fill="F2F2F2" w:themeFill="background1" w:themeFillShade="F2"/>
          </w:tcPr>
          <w:p w14:paraId="10C9607D" w14:textId="77777777" w:rsidR="00FD5274" w:rsidRPr="001B4029" w:rsidRDefault="00FD5274" w:rsidP="00747B2D">
            <w:pPr>
              <w:jc w:val="both"/>
              <w:rPr>
                <w:rFonts w:ascii="Times New Roman" w:hAnsi="Times New Roman" w:cs="Times New Roman"/>
                <w:sz w:val="24"/>
                <w:szCs w:val="24"/>
                <w:lang w:val="lv-LV"/>
              </w:rPr>
            </w:pPr>
            <w:proofErr w:type="spellStart"/>
            <w:r w:rsidRPr="001B4029">
              <w:rPr>
                <w:rFonts w:ascii="Times New Roman" w:hAnsi="Times New Roman" w:cs="Times New Roman"/>
                <w:sz w:val="24"/>
                <w:szCs w:val="24"/>
                <w:lang w:val="lv-LV"/>
              </w:rPr>
              <w:t>Apakšjoma</w:t>
            </w:r>
            <w:proofErr w:type="spellEnd"/>
          </w:p>
          <w:p w14:paraId="574C7278" w14:textId="3E78FF9B"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354F3A79" w14:textId="1446817B" w:rsidR="00FD5274" w:rsidRPr="001B4029" w:rsidRDefault="00FE3F6F"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Modernas</w:t>
            </w:r>
            <w:r w:rsidR="0024654D" w:rsidRPr="001B4029">
              <w:rPr>
                <w:rFonts w:ascii="Times New Roman" w:hAnsi="Times New Roman" w:cs="Times New Roman"/>
                <w:sz w:val="24"/>
                <w:szCs w:val="24"/>
                <w:lang w:val="lv-LV"/>
              </w:rPr>
              <w:t xml:space="preserve"> ražošanas tehnoloģijas un </w:t>
            </w:r>
            <w:proofErr w:type="spellStart"/>
            <w:r w:rsidR="0024654D" w:rsidRPr="001B4029">
              <w:rPr>
                <w:rFonts w:ascii="Times New Roman" w:hAnsi="Times New Roman" w:cs="Times New Roman"/>
                <w:sz w:val="24"/>
                <w:szCs w:val="24"/>
                <w:lang w:val="lv-LV"/>
              </w:rPr>
              <w:t>inženiersistēmas</w:t>
            </w:r>
            <w:proofErr w:type="spellEnd"/>
          </w:p>
        </w:tc>
      </w:tr>
      <w:tr w:rsidR="007F29D1" w:rsidRPr="001B4029" w14:paraId="73214515" w14:textId="77777777" w:rsidTr="009C04DD">
        <w:trPr>
          <w:trHeight w:val="237"/>
        </w:trPr>
        <w:tc>
          <w:tcPr>
            <w:tcW w:w="2252" w:type="dxa"/>
            <w:shd w:val="clear" w:color="auto" w:fill="F2F2F2" w:themeFill="background1" w:themeFillShade="F2"/>
          </w:tcPr>
          <w:p w14:paraId="1926B4EF" w14:textId="77777777" w:rsidR="00FD5274" w:rsidRPr="001B4029" w:rsidRDefault="00FD5274"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Mehānisms jaunu jomas pārstāvju ieviešanai</w:t>
            </w:r>
          </w:p>
          <w:p w14:paraId="328EBE37" w14:textId="42F2A28B"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1BDC0AB3" w14:textId="554612F8" w:rsidR="00FE3F6F" w:rsidRPr="001B4029" w:rsidRDefault="00FE3F6F" w:rsidP="00FE3F6F">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Mašīnbūves kompetences centra projekta “Mašīnbūves kompetences centra atbalsts pētniecībai” īstenošana tiks veikta ciešā sasaistē un sinerģijā ar citām MASOC aktivitātēm un projektiem. Kopš 1994.</w:t>
            </w:r>
            <w:r w:rsidR="00004ED1">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 xml:space="preserve">gada asociācijas ietvaros ir izveidojies sadarbības tīkls, kas uz šobrīd apvieno 172 vadošos mašīnbūves un metālapstrādes nozares uzņēmumus, saistītos pakalpojumu sniedzējus, izglītības un pētniecības institūcijas. Izveidotais sadarbības tīkls tiešā veidā sekmē kompetences centra projekta īstenošanu, jo tas paver iespēju kompetences centra pētniecības projektu ietvaros gūto zināšanu un atziņu tālākai izplatībai nozarē. Tādejādi citi nozares uzņēmumi tiek motivēti un iedvesmoti veikt ieguldījumus jaunu produktu un tehnoloģiju attīstībā. </w:t>
            </w:r>
          </w:p>
          <w:p w14:paraId="540569E5" w14:textId="77777777" w:rsidR="00FD5274" w:rsidRPr="001B4029" w:rsidRDefault="00FE3F6F" w:rsidP="00FE3F6F">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MASOC kopējā sadarbības tīkla un atsevišķu projektu ietvaros veiktās kontaktu veidošanas, tīklošanās un zināšanu pārneses aktivitātes sekmēs Kompetences centra pētniecības projektu īstenošanu, sniedzot atbalstu sadarbības partneru piesaistē un jaunu sadarbības formu izveidē.</w:t>
            </w:r>
          </w:p>
          <w:p w14:paraId="77A73223" w14:textId="77777777" w:rsidR="00FE3F6F" w:rsidRPr="001B4029" w:rsidRDefault="00FE3F6F" w:rsidP="00FE3F6F">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Papildus tiks tālāk attīstīta aizsāktā sadarbība ar citu nozaru organizācijām un uzņēmumu apvienībām – LIKTA un IT klasteri jautājumos par </w:t>
            </w:r>
            <w:proofErr w:type="spellStart"/>
            <w:r w:rsidRPr="001B4029">
              <w:rPr>
                <w:rFonts w:ascii="Times New Roman" w:hAnsi="Times New Roman" w:cs="Times New Roman"/>
                <w:sz w:val="24"/>
                <w:szCs w:val="24"/>
                <w:lang w:val="lv-LV"/>
              </w:rPr>
              <w:t>digitalizācijas</w:t>
            </w:r>
            <w:proofErr w:type="spellEnd"/>
            <w:r w:rsidRPr="001B4029">
              <w:rPr>
                <w:rFonts w:ascii="Times New Roman" w:hAnsi="Times New Roman" w:cs="Times New Roman"/>
                <w:sz w:val="24"/>
                <w:szCs w:val="24"/>
                <w:lang w:val="lv-LV"/>
              </w:rPr>
              <w:t xml:space="preserve"> risinājumu ieviešanu, </w:t>
            </w:r>
            <w:proofErr w:type="spellStart"/>
            <w:r w:rsidRPr="001B4029">
              <w:rPr>
                <w:rFonts w:ascii="Times New Roman" w:hAnsi="Times New Roman" w:cs="Times New Roman"/>
                <w:sz w:val="24"/>
                <w:szCs w:val="24"/>
                <w:lang w:val="lv-LV"/>
              </w:rPr>
              <w:t>Industry</w:t>
            </w:r>
            <w:proofErr w:type="spellEnd"/>
            <w:r w:rsidRPr="001B4029">
              <w:rPr>
                <w:rFonts w:ascii="Times New Roman" w:hAnsi="Times New Roman" w:cs="Times New Roman"/>
                <w:sz w:val="24"/>
                <w:szCs w:val="24"/>
                <w:lang w:val="lv-LV"/>
              </w:rPr>
              <w:t xml:space="preserve"> 4.0 koncepcijas attīstību, kā arī citu nozaru organizācijām, kuras pārstāv uzņēmumus, kuri ir Kompetences centra ietvaros radīto produktu gala lietotāji. </w:t>
            </w:r>
          </w:p>
          <w:p w14:paraId="2B22DA66" w14:textId="643B4FBD" w:rsidR="00FE3F6F" w:rsidRPr="001B4029" w:rsidRDefault="00FE3F6F" w:rsidP="00FE3F6F">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Sadarbībā ar citu nozaru kompetences centriem un uzņēmumu apvienībām regulāri tiek organizēti informatīvi, pieredzes apmaiņas un tīklošanās pasākumi, un šī prakse tiks turpināta un tālāk attīstīta.</w:t>
            </w:r>
          </w:p>
        </w:tc>
      </w:tr>
      <w:tr w:rsidR="007F29D1" w:rsidRPr="001B4029" w14:paraId="427EFED2" w14:textId="77777777" w:rsidTr="009C04DD">
        <w:trPr>
          <w:trHeight w:val="237"/>
        </w:trPr>
        <w:tc>
          <w:tcPr>
            <w:tcW w:w="2252" w:type="dxa"/>
            <w:shd w:val="clear" w:color="auto" w:fill="F2F2F2" w:themeFill="background1" w:themeFillShade="F2"/>
          </w:tcPr>
          <w:p w14:paraId="4F46D03F" w14:textId="77777777" w:rsidR="00FD5274" w:rsidRPr="001B4029" w:rsidRDefault="00FD5274"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Iesaistīto dalībnieku apraksts un to eksportspēja</w:t>
            </w:r>
          </w:p>
          <w:p w14:paraId="136E54F3" w14:textId="16A8ED16"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2562ED41" w14:textId="3D1837E5" w:rsidR="008D696F" w:rsidRPr="001B4029" w:rsidRDefault="008D696F" w:rsidP="008D696F">
            <w:pPr>
              <w:spacing w:before="120" w:after="1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Saskaņā ar Eiropas Ekonomikas un sociālo lietu komitejas atzinumu mašīnbūve ir stratēģiska nozare: tā ir augstas pievienotās vērtības nozare, kurā nepieciešamas plašas zināšanas un pieredze un kas apgādā visas pārējās tautsaimniecības nozares ar mašīnām, ražošanas sistēmām, sastāvdaļām un saistītajiem pakalpojumiem, kā arī ar minētajām nozarēm vajadzīgajām tehnoloģijām un zināšanām. Mašīnbūve ir nevis viendabīga, bet gan ļoti daudzveidīga nozare, kas aptver ļoti daudzas apakšnozares.</w:t>
            </w:r>
          </w:p>
          <w:p w14:paraId="68B8C40F" w14:textId="77777777" w:rsidR="00FD5274" w:rsidRPr="001B4029" w:rsidRDefault="008D696F" w:rsidP="008D696F">
            <w:pPr>
              <w:spacing w:before="120" w:after="1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lastRenderedPageBreak/>
              <w:t>Mašīnbūve un metālapstrāde ir viena no vadošajām rūpniecības nozarēm Latvijā. Nozare nodrošina 19% no kopējās apstrādes rūpniecības apgrozījuma un 23% no kopējā preču eksporta.</w:t>
            </w:r>
          </w:p>
          <w:p w14:paraId="5E642226" w14:textId="7F036071" w:rsidR="008D696F" w:rsidRPr="001B4029" w:rsidRDefault="008D696F" w:rsidP="008D696F">
            <w:pPr>
              <w:spacing w:before="120" w:after="1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Mašīnbūves un metālapstrādes nozare ir izteikti eksporta orientēta, vidēji ap 75 - 80% no saražotās produkcijas tiek eksportēts. Atbilstoši Latvijas ārējās tirdzniecības statistikai nozares produkcija tiek eksportēta uz vairāk nekā 100 pasaules valstīm, tāpēc to eksporta tirgu ģeogrāfija ir ļoti plaša. Kopumā ap 73% no produkcijas tiek realizēta Eiropas Savienības valstīs.</w:t>
            </w:r>
          </w:p>
        </w:tc>
      </w:tr>
      <w:tr w:rsidR="007F29D1" w:rsidRPr="001B4029" w14:paraId="0687A7B1" w14:textId="77777777" w:rsidTr="009C04DD">
        <w:trPr>
          <w:trHeight w:val="237"/>
        </w:trPr>
        <w:tc>
          <w:tcPr>
            <w:tcW w:w="2252" w:type="dxa"/>
            <w:shd w:val="clear" w:color="auto" w:fill="F2F2F2" w:themeFill="background1" w:themeFillShade="F2"/>
          </w:tcPr>
          <w:p w14:paraId="76AEEB84" w14:textId="77777777" w:rsidR="00FD5274" w:rsidRPr="001B4029" w:rsidRDefault="00FD5274"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lastRenderedPageBreak/>
              <w:t>Saimnieciskās darbības veicēju attīstības un pielāgošanās iespējas globālajam tirgum apraksts</w:t>
            </w:r>
          </w:p>
          <w:p w14:paraId="0502B8FA" w14:textId="5E462878"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4FE44C2D" w14:textId="0268C3B9" w:rsidR="00FD5274" w:rsidRPr="001B4029" w:rsidRDefault="00915969" w:rsidP="00915969">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Par saimnieciskās darbības veicēju veiksmīgām pielāgošanās iespējām globālajam tirgum liecina tas, ka par spīti Krievijas invāzijai Ukrainā un ar to saistītajām problēmām — īslaicīgu tērauda deficītu un šim svarīgajam izejmateriālam novēroto cenu lēcienu -, metālapstrādes un mašīnbūves nozares kopējie ienākumi 2022.</w:t>
            </w:r>
            <w:r w:rsidR="00004ED1">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 xml:space="preserve">gadā sasniedza līdz šim vēsturiski augstāko līmeni un pārsniedza 2,5 miljardus eiro. </w:t>
            </w:r>
            <w:r w:rsidR="008E1543" w:rsidRPr="001B4029">
              <w:rPr>
                <w:rFonts w:ascii="Times New Roman" w:hAnsi="Times New Roman" w:cs="Times New Roman"/>
                <w:sz w:val="24"/>
                <w:szCs w:val="24"/>
                <w:lang w:val="lv-LV"/>
              </w:rPr>
              <w:t>Tas, ka</w:t>
            </w:r>
            <w:r w:rsidRPr="001B4029">
              <w:rPr>
                <w:rFonts w:ascii="Times New Roman" w:hAnsi="Times New Roman" w:cs="Times New Roman"/>
                <w:sz w:val="24"/>
                <w:szCs w:val="24"/>
                <w:lang w:val="lv-LV"/>
              </w:rPr>
              <w:t xml:space="preserve"> sarežģītajā 2022. gadā nozarei izdevās panākt ienākumu pieaugumu vidēji par 20-22%, ir uzskatāms par pārsteidzoši labu rezultātu, kas apliecina uzņēmēju spēju ātri un elastīgi pielāgoties jaunajiem apstākļiem.</w:t>
            </w:r>
          </w:p>
          <w:p w14:paraId="5A19F30F" w14:textId="7F6DC6A1" w:rsidR="00915969" w:rsidRPr="001B4029" w:rsidRDefault="00915969" w:rsidP="008E1543">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Karš Ukrainā ietekmēja arī nozares eksporta tirgus. Pirms kara Krievija veidoja aptuveni 10% no kopējā eksporta apjoma. Šis apjoms attiecīgi ir uzskatāms par lielā mērā zaudētu. Kopumā tādu uzņēmumu, kuriem Krievija ir vienīgais vai būtiskākais tirgus, ir salīdzinoši maz, jo galvenie nozares eksporta tirgi ir citi. Kopumā 2022.</w:t>
            </w:r>
            <w:r w:rsidR="00B43C24">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gads pabeigts ar ievērojamu apgrozījuma un eksporta apjoma pieaugumu virs 20% apmērā faktiskajās cenās, sasniedzot 2,5 miljardus eiro.</w:t>
            </w:r>
          </w:p>
          <w:p w14:paraId="6A1A9E73" w14:textId="475CB436" w:rsidR="008E1543" w:rsidRPr="001B4029" w:rsidRDefault="008E1543" w:rsidP="008E1543">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Nozares uzņēmumu aptaujas dati rāda, ka 30% uzņēmumu peļņa 2022. gadā ir zemāka</w:t>
            </w:r>
            <w:r w:rsidR="00B43C24">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nekā tika gūta 2021. gadā, 25% saglabājusies tādā pašā apmērā kā iepriekš un 45% tā pieaugusi. Tas nozīmē, ka, lai gan ir bijuši visa veida izaicinājumi, nozares uzņēmumi 2022. gadu pabeidza veiksmīgi.</w:t>
            </w:r>
          </w:p>
          <w:p w14:paraId="1D02912A" w14:textId="1400753C" w:rsidR="008E1543" w:rsidRPr="001B4029" w:rsidRDefault="008E1543" w:rsidP="008E1543">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Kompetences centra izvēlētajā jomā un </w:t>
            </w:r>
            <w:proofErr w:type="spellStart"/>
            <w:r w:rsidRPr="001B4029">
              <w:rPr>
                <w:rFonts w:ascii="Times New Roman" w:hAnsi="Times New Roman" w:cs="Times New Roman"/>
                <w:sz w:val="24"/>
                <w:szCs w:val="24"/>
                <w:lang w:val="lv-LV"/>
              </w:rPr>
              <w:t>apakšjomā</w:t>
            </w:r>
            <w:proofErr w:type="spellEnd"/>
            <w:r w:rsidRPr="001B4029">
              <w:rPr>
                <w:rFonts w:ascii="Times New Roman" w:hAnsi="Times New Roman" w:cs="Times New Roman"/>
                <w:sz w:val="24"/>
                <w:szCs w:val="24"/>
                <w:lang w:val="lv-LV"/>
              </w:rPr>
              <w:t xml:space="preserve"> modernas ražošanas tehnoloģijas un </w:t>
            </w:r>
            <w:proofErr w:type="spellStart"/>
            <w:r w:rsidRPr="001B4029">
              <w:rPr>
                <w:rFonts w:ascii="Times New Roman" w:hAnsi="Times New Roman" w:cs="Times New Roman"/>
                <w:sz w:val="24"/>
                <w:szCs w:val="24"/>
                <w:lang w:val="lv-LV"/>
              </w:rPr>
              <w:t>inženiersistēmas</w:t>
            </w:r>
            <w:proofErr w:type="spellEnd"/>
            <w:r w:rsidRPr="001B4029">
              <w:rPr>
                <w:rFonts w:ascii="Times New Roman" w:hAnsi="Times New Roman" w:cs="Times New Roman"/>
                <w:sz w:val="24"/>
                <w:szCs w:val="24"/>
                <w:lang w:val="lv-LV"/>
              </w:rPr>
              <w:t xml:space="preserve"> pārstāvētas inovatīvas industrijas ar augstu tehnoloģiju pārneses potenciālu, sniedzot būtisku ieguldījumu Latvijas dziļo tehnoloģiju industrijas attīstībai un starpnozaru sadarbībai.  Jomas pārstāvji sniedz zinātnisko un tehnoloģisko ieguldījumu starptautiskos konsorcijos pētniecības un inovāciju projektos. Tāpat iepriekš realizētie Kompetences centra projekti ir uzrādījuši augstus sasniegumus inovāciju veicināšanā uzņēmumu līmenī, kas ir pamats tālākai pētniecības un attīstības, kā arī inovāciju attīstībai uzņēmumos.</w:t>
            </w:r>
          </w:p>
        </w:tc>
      </w:tr>
      <w:tr w:rsidR="007F29D1" w:rsidRPr="001B4029" w14:paraId="2A8DD964" w14:textId="77777777" w:rsidTr="009C04DD">
        <w:trPr>
          <w:trHeight w:val="237"/>
        </w:trPr>
        <w:tc>
          <w:tcPr>
            <w:tcW w:w="2252" w:type="dxa"/>
            <w:shd w:val="clear" w:color="auto" w:fill="F2F2F2" w:themeFill="background1" w:themeFillShade="F2"/>
          </w:tcPr>
          <w:p w14:paraId="7AB7C454" w14:textId="77777777" w:rsidR="00FD5274" w:rsidRPr="001B4029" w:rsidRDefault="003E7288"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V</w:t>
            </w:r>
            <w:r w:rsidR="00FD5274" w:rsidRPr="001B4029">
              <w:rPr>
                <w:rFonts w:ascii="Times New Roman" w:hAnsi="Times New Roman" w:cs="Times New Roman"/>
                <w:sz w:val="24"/>
                <w:szCs w:val="24"/>
                <w:lang w:val="lv-LV"/>
              </w:rPr>
              <w:t>adītāju pieredze (pieredze gados un kopējā projekta summa)</w:t>
            </w:r>
          </w:p>
          <w:p w14:paraId="78CE9AF3" w14:textId="30C33A99"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2CCC0F9A" w14:textId="03E6E7F2" w:rsidR="00214EB4" w:rsidRPr="001B4029" w:rsidRDefault="00214EB4"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lastRenderedPageBreak/>
              <w:t xml:space="preserve">Kā Kompetences centra vadītājs ir izvēlēts Mašīnbūves kompetences centra valdes loceklis Toms Grīnfelds, kuram ir nepieciešamā kvalifikācija un pieredze, lai vadītu šāda apjoma projektu, jo Kompetences centra vadītājam ir iepriekšēja pieredze Kompetences </w:t>
            </w:r>
            <w:r w:rsidRPr="001B4029">
              <w:rPr>
                <w:rFonts w:ascii="Times New Roman" w:hAnsi="Times New Roman" w:cs="Times New Roman"/>
                <w:sz w:val="24"/>
                <w:szCs w:val="24"/>
                <w:lang w:val="lv-LV"/>
              </w:rPr>
              <w:lastRenderedPageBreak/>
              <w:t>centra vadīšanā no 2017.</w:t>
            </w:r>
            <w:r w:rsidR="00B43C24">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gada novembra, kā arī pieredze asociācijas vadībā no 2009.</w:t>
            </w:r>
            <w:r w:rsidR="00B43C24">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gada. No 2017.</w:t>
            </w:r>
            <w:r w:rsidR="00B43C24">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gada oktobra Toms Grīnfelds ir Mašīnbūves kompetences centra valdes loceklis.</w:t>
            </w:r>
          </w:p>
          <w:p w14:paraId="3304281D" w14:textId="4A7A5FA5" w:rsidR="00916C90" w:rsidRPr="001B4029" w:rsidRDefault="00916C90"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Mašīnbūves kompetences centra projekta vadītājam Tomam </w:t>
            </w:r>
            <w:proofErr w:type="spellStart"/>
            <w:r w:rsidRPr="001B4029">
              <w:rPr>
                <w:rFonts w:ascii="Times New Roman" w:hAnsi="Times New Roman" w:cs="Times New Roman"/>
                <w:sz w:val="24"/>
                <w:szCs w:val="24"/>
                <w:lang w:val="lv-LV"/>
              </w:rPr>
              <w:t>Grīnfeldam</w:t>
            </w:r>
            <w:proofErr w:type="spellEnd"/>
            <w:r w:rsidRPr="001B4029">
              <w:rPr>
                <w:rFonts w:ascii="Times New Roman" w:hAnsi="Times New Roman" w:cs="Times New Roman"/>
                <w:sz w:val="24"/>
                <w:szCs w:val="24"/>
                <w:lang w:val="lv-LV"/>
              </w:rPr>
              <w:t xml:space="preserve"> pēdējo 10 gadu laikā ir pieredze tādu projektu vadīšanā, kuru kopējā summa ir lielāka kā 7 milj. </w:t>
            </w:r>
            <w:proofErr w:type="spellStart"/>
            <w:r w:rsidR="00B43C24">
              <w:rPr>
                <w:rFonts w:ascii="Times New Roman" w:hAnsi="Times New Roman" w:cs="Times New Roman"/>
                <w:sz w:val="24"/>
                <w:szCs w:val="24"/>
                <w:lang w:val="lv-LV"/>
              </w:rPr>
              <w:t>e</w:t>
            </w:r>
            <w:r w:rsidRPr="001B4029">
              <w:rPr>
                <w:rFonts w:ascii="Times New Roman" w:hAnsi="Times New Roman" w:cs="Times New Roman"/>
                <w:sz w:val="24"/>
                <w:szCs w:val="24"/>
                <w:lang w:val="lv-LV"/>
              </w:rPr>
              <w:t>uro</w:t>
            </w:r>
            <w:proofErr w:type="spellEnd"/>
            <w:r w:rsidRPr="001B4029">
              <w:rPr>
                <w:rFonts w:ascii="Times New Roman" w:hAnsi="Times New Roman" w:cs="Times New Roman"/>
                <w:sz w:val="24"/>
                <w:szCs w:val="24"/>
                <w:lang w:val="lv-LV"/>
              </w:rPr>
              <w:t>:</w:t>
            </w:r>
          </w:p>
          <w:p w14:paraId="66E1C196" w14:textId="288450D8" w:rsidR="00916C90" w:rsidRPr="001B4029" w:rsidRDefault="00916C90" w:rsidP="00916C9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1) Projekts “Mašīnbūves kompetences centra izveide”, projekta Nr. 1.2.1.1/16/A/003, projekta kopējās izmaksas 5 899 744.34 EUR, īstenošanas laiks no 10.2016. līdz 12.2018. Nodrošināta Kompetences centra vadība no 2017.</w:t>
            </w:r>
            <w:r w:rsidR="00B43C24">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gada novembra šajā projektā.</w:t>
            </w:r>
          </w:p>
          <w:p w14:paraId="7DCC724D" w14:textId="740913AD" w:rsidR="00916C90" w:rsidRPr="001B4029" w:rsidRDefault="00916C90" w:rsidP="00916C9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2) Projekts “Mašīnbūves kompetences centrs”, projekta Nr.  1.2.1.1/18/A/008, projekta kopējās izmaksas 9 451 248.14 EUR, īstenošanas laiks no 05.2019. līdz 06.2022.</w:t>
            </w:r>
          </w:p>
          <w:p w14:paraId="34208121" w14:textId="53B42996" w:rsidR="00916C90" w:rsidRPr="001B4029" w:rsidRDefault="00916C90" w:rsidP="00916C9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3) Projekts “Mašīnbūves kompetences centrs”, projekta </w:t>
            </w:r>
            <w:r w:rsidR="00B43C24">
              <w:rPr>
                <w:rFonts w:ascii="Times New Roman" w:hAnsi="Times New Roman" w:cs="Times New Roman"/>
                <w:sz w:val="24"/>
                <w:szCs w:val="24"/>
                <w:lang w:val="lv-LV"/>
              </w:rPr>
              <w:t>N</w:t>
            </w:r>
            <w:r w:rsidRPr="001B4029">
              <w:rPr>
                <w:rFonts w:ascii="Times New Roman" w:hAnsi="Times New Roman" w:cs="Times New Roman"/>
                <w:sz w:val="24"/>
                <w:szCs w:val="24"/>
                <w:lang w:val="lv-LV"/>
              </w:rPr>
              <w:t>r. 5.1.1.2.i.0/1/22/A/CFLA/006, projekta kopējās izmaksas - 5 461 603.34 EUR</w:t>
            </w:r>
            <w:r w:rsidR="00A13BBB" w:rsidRPr="001B4029">
              <w:rPr>
                <w:rFonts w:ascii="Times New Roman" w:hAnsi="Times New Roman" w:cs="Times New Roman"/>
                <w:sz w:val="24"/>
                <w:szCs w:val="24"/>
                <w:lang w:val="lv-LV"/>
              </w:rPr>
              <w:t>, īstenošanas laiks no 2022.</w:t>
            </w:r>
            <w:r w:rsidR="00B43C24">
              <w:rPr>
                <w:rFonts w:ascii="Times New Roman" w:hAnsi="Times New Roman" w:cs="Times New Roman"/>
                <w:sz w:val="24"/>
                <w:szCs w:val="24"/>
                <w:lang w:val="lv-LV"/>
              </w:rPr>
              <w:t xml:space="preserve"> </w:t>
            </w:r>
            <w:r w:rsidR="00A13BBB" w:rsidRPr="001B4029">
              <w:rPr>
                <w:rFonts w:ascii="Times New Roman" w:hAnsi="Times New Roman" w:cs="Times New Roman"/>
                <w:sz w:val="24"/>
                <w:szCs w:val="24"/>
                <w:lang w:val="lv-LV"/>
              </w:rPr>
              <w:t>gada 13. septembra līdz 2026.</w:t>
            </w:r>
            <w:r w:rsidR="00B43C24">
              <w:rPr>
                <w:rFonts w:ascii="Times New Roman" w:hAnsi="Times New Roman" w:cs="Times New Roman"/>
                <w:sz w:val="24"/>
                <w:szCs w:val="24"/>
                <w:lang w:val="lv-LV"/>
              </w:rPr>
              <w:t xml:space="preserve"> </w:t>
            </w:r>
            <w:r w:rsidR="00A13BBB" w:rsidRPr="001B4029">
              <w:rPr>
                <w:rFonts w:ascii="Times New Roman" w:hAnsi="Times New Roman" w:cs="Times New Roman"/>
                <w:sz w:val="24"/>
                <w:szCs w:val="24"/>
                <w:lang w:val="lv-LV"/>
              </w:rPr>
              <w:t>gada 30.</w:t>
            </w:r>
            <w:r w:rsidR="00B43C24">
              <w:rPr>
                <w:rFonts w:ascii="Times New Roman" w:hAnsi="Times New Roman" w:cs="Times New Roman"/>
                <w:sz w:val="24"/>
                <w:szCs w:val="24"/>
                <w:lang w:val="lv-LV"/>
              </w:rPr>
              <w:t xml:space="preserve"> </w:t>
            </w:r>
            <w:r w:rsidR="00A13BBB" w:rsidRPr="001B4029">
              <w:rPr>
                <w:rFonts w:ascii="Times New Roman" w:hAnsi="Times New Roman" w:cs="Times New Roman"/>
                <w:sz w:val="24"/>
                <w:szCs w:val="24"/>
                <w:lang w:val="lv-LV"/>
              </w:rPr>
              <w:t>jūnijam, paredzot pētniecības projektu pabeigšanu līdz 2024.</w:t>
            </w:r>
            <w:r w:rsidR="00B43C24">
              <w:rPr>
                <w:rFonts w:ascii="Times New Roman" w:hAnsi="Times New Roman" w:cs="Times New Roman"/>
                <w:sz w:val="24"/>
                <w:szCs w:val="24"/>
                <w:lang w:val="lv-LV"/>
              </w:rPr>
              <w:t xml:space="preserve"> </w:t>
            </w:r>
            <w:r w:rsidR="00A13BBB" w:rsidRPr="001B4029">
              <w:rPr>
                <w:rFonts w:ascii="Times New Roman" w:hAnsi="Times New Roman" w:cs="Times New Roman"/>
                <w:sz w:val="24"/>
                <w:szCs w:val="24"/>
                <w:lang w:val="lv-LV"/>
              </w:rPr>
              <w:t>gada 31.</w:t>
            </w:r>
            <w:r w:rsidR="00B43C24">
              <w:rPr>
                <w:rFonts w:ascii="Times New Roman" w:hAnsi="Times New Roman" w:cs="Times New Roman"/>
                <w:sz w:val="24"/>
                <w:szCs w:val="24"/>
                <w:lang w:val="lv-LV"/>
              </w:rPr>
              <w:t xml:space="preserve"> </w:t>
            </w:r>
            <w:r w:rsidR="00A13BBB" w:rsidRPr="001B4029">
              <w:rPr>
                <w:rFonts w:ascii="Times New Roman" w:hAnsi="Times New Roman" w:cs="Times New Roman"/>
                <w:sz w:val="24"/>
                <w:szCs w:val="24"/>
                <w:lang w:val="lv-LV"/>
              </w:rPr>
              <w:t>decembrim.</w:t>
            </w:r>
          </w:p>
          <w:p w14:paraId="1D38E3F4" w14:textId="5A377A41" w:rsidR="00FD5274" w:rsidRPr="001B4029" w:rsidRDefault="00214EB4"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Detalizētu informāciju skatīt pielikumā pievienotajā CV.</w:t>
            </w:r>
          </w:p>
        </w:tc>
      </w:tr>
      <w:tr w:rsidR="007F29D1" w:rsidRPr="001B4029" w14:paraId="1AC2B942" w14:textId="77777777" w:rsidTr="009C04DD">
        <w:trPr>
          <w:trHeight w:val="237"/>
        </w:trPr>
        <w:tc>
          <w:tcPr>
            <w:tcW w:w="2252" w:type="dxa"/>
            <w:shd w:val="clear" w:color="auto" w:fill="F2F2F2" w:themeFill="background1" w:themeFillShade="F2"/>
          </w:tcPr>
          <w:p w14:paraId="7FEBBB13" w14:textId="77777777" w:rsidR="00FD5274" w:rsidRPr="001B4029" w:rsidRDefault="003E7288"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lastRenderedPageBreak/>
              <w:t>P</w:t>
            </w:r>
            <w:r w:rsidR="00FD5274" w:rsidRPr="001B4029">
              <w:rPr>
                <w:rFonts w:ascii="Times New Roman" w:hAnsi="Times New Roman" w:cs="Times New Roman"/>
                <w:sz w:val="24"/>
                <w:szCs w:val="24"/>
                <w:lang w:val="lv-LV"/>
              </w:rPr>
              <w:t>ētniecības virziena vadītāja pieredze</w:t>
            </w:r>
          </w:p>
          <w:p w14:paraId="095DABF7" w14:textId="74B01936"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79716C5A" w14:textId="77777777" w:rsidR="00214EB4" w:rsidRPr="001B4029" w:rsidRDefault="00214EB4"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Zinātnisko virzienu vadītājiem, ņemot vērā plašo pētniecības programmu, noteiktas šādas prasības:</w:t>
            </w:r>
          </w:p>
          <w:p w14:paraId="0F56A0B3" w14:textId="77777777" w:rsidR="00214EB4" w:rsidRPr="001B4029" w:rsidRDefault="00214EB4"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w:t>
            </w:r>
            <w:r w:rsidRPr="001B4029">
              <w:rPr>
                <w:rFonts w:ascii="Times New Roman" w:hAnsi="Times New Roman" w:cs="Times New Roman"/>
                <w:sz w:val="24"/>
                <w:szCs w:val="24"/>
                <w:lang w:val="lv-LV"/>
              </w:rPr>
              <w:tab/>
              <w:t>maģistra grāds inženierzinātnēs vai citā saistītajā jomā;</w:t>
            </w:r>
          </w:p>
          <w:p w14:paraId="095FAB01" w14:textId="77777777" w:rsidR="00214EB4" w:rsidRPr="001B4029" w:rsidRDefault="00214EB4"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w:t>
            </w:r>
            <w:r w:rsidRPr="001B4029">
              <w:rPr>
                <w:rFonts w:ascii="Times New Roman" w:hAnsi="Times New Roman" w:cs="Times New Roman"/>
                <w:sz w:val="24"/>
                <w:szCs w:val="24"/>
                <w:lang w:val="lv-LV"/>
              </w:rPr>
              <w:tab/>
              <w:t>zināšanas un ekspertīze vismaz vienā no Mašīnbūves kompetences centra pētniecības virzieniem ar praktiskā darba pieredzi uzņēmumā vai pētniecības un zināšanu izplatīšanas organizācijā:</w:t>
            </w:r>
          </w:p>
          <w:p w14:paraId="362FECC7" w14:textId="77777777" w:rsidR="00214EB4" w:rsidRPr="001B4029" w:rsidRDefault="00214EB4" w:rsidP="00214EB4">
            <w:pPr>
              <w:ind w:left="7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o</w:t>
            </w:r>
            <w:r w:rsidRPr="001B4029">
              <w:rPr>
                <w:rFonts w:ascii="Times New Roman" w:hAnsi="Times New Roman" w:cs="Times New Roman"/>
                <w:sz w:val="24"/>
                <w:szCs w:val="24"/>
                <w:lang w:val="lv-LV"/>
              </w:rPr>
              <w:tab/>
              <w:t xml:space="preserve">Automatizētu </w:t>
            </w:r>
            <w:proofErr w:type="spellStart"/>
            <w:r w:rsidRPr="001B4029">
              <w:rPr>
                <w:rFonts w:ascii="Times New Roman" w:hAnsi="Times New Roman" w:cs="Times New Roman"/>
                <w:sz w:val="24"/>
                <w:szCs w:val="24"/>
                <w:lang w:val="lv-LV"/>
              </w:rPr>
              <w:t>inženiersistēmu</w:t>
            </w:r>
            <w:proofErr w:type="spellEnd"/>
            <w:r w:rsidRPr="001B4029">
              <w:rPr>
                <w:rFonts w:ascii="Times New Roman" w:hAnsi="Times New Roman" w:cs="Times New Roman"/>
                <w:sz w:val="24"/>
                <w:szCs w:val="24"/>
                <w:lang w:val="lv-LV"/>
              </w:rPr>
              <w:t xml:space="preserve"> ražošanas tehnoloģijas;</w:t>
            </w:r>
          </w:p>
          <w:p w14:paraId="679B5699" w14:textId="77777777" w:rsidR="00214EB4" w:rsidRPr="001B4029" w:rsidRDefault="00214EB4" w:rsidP="00214EB4">
            <w:pPr>
              <w:ind w:left="7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o</w:t>
            </w:r>
            <w:r w:rsidRPr="001B4029">
              <w:rPr>
                <w:rFonts w:ascii="Times New Roman" w:hAnsi="Times New Roman" w:cs="Times New Roman"/>
                <w:sz w:val="24"/>
                <w:szCs w:val="24"/>
                <w:lang w:val="lv-LV"/>
              </w:rPr>
              <w:tab/>
              <w:t>Materiālu ražošanas tehnoloģijas;</w:t>
            </w:r>
          </w:p>
          <w:p w14:paraId="4D561049" w14:textId="77777777" w:rsidR="00214EB4" w:rsidRPr="001B4029" w:rsidRDefault="00214EB4" w:rsidP="00214EB4">
            <w:pPr>
              <w:ind w:left="720"/>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o</w:t>
            </w:r>
            <w:r w:rsidRPr="001B4029">
              <w:rPr>
                <w:rFonts w:ascii="Times New Roman" w:hAnsi="Times New Roman" w:cs="Times New Roman"/>
                <w:sz w:val="24"/>
                <w:szCs w:val="24"/>
                <w:lang w:val="lv-LV"/>
              </w:rPr>
              <w:tab/>
              <w:t>Transporta tehnoloģijas.</w:t>
            </w:r>
          </w:p>
          <w:p w14:paraId="79BB9F27" w14:textId="77777777" w:rsidR="00214EB4" w:rsidRPr="001B4029" w:rsidRDefault="00214EB4"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w:t>
            </w:r>
            <w:r w:rsidRPr="001B4029">
              <w:rPr>
                <w:rFonts w:ascii="Times New Roman" w:hAnsi="Times New Roman" w:cs="Times New Roman"/>
                <w:sz w:val="24"/>
                <w:szCs w:val="24"/>
                <w:lang w:val="lv-LV"/>
              </w:rPr>
              <w:tab/>
              <w:t>vismaz trīs gadu pieredze līdzīga apjoma pētniecības un attīstības projektu vadīšanā, t.i., vismaz 1 000 000,00 EUR gadā vai uzņēmumu vadīšanā, kuri ir veikuši līdzīga apjoma pētniecības un attīstības darbus.</w:t>
            </w:r>
          </w:p>
          <w:p w14:paraId="62256C69" w14:textId="77777777" w:rsidR="00A13BBB" w:rsidRPr="001B4029" w:rsidRDefault="00A13BBB" w:rsidP="00214EB4">
            <w:pPr>
              <w:jc w:val="both"/>
              <w:rPr>
                <w:rFonts w:ascii="Times New Roman" w:hAnsi="Times New Roman" w:cs="Times New Roman"/>
                <w:sz w:val="24"/>
                <w:szCs w:val="24"/>
                <w:lang w:val="lv-LV"/>
              </w:rPr>
            </w:pPr>
          </w:p>
          <w:p w14:paraId="2DD584D1" w14:textId="5DFB5D4E" w:rsidR="00214EB4" w:rsidRPr="001B4029" w:rsidRDefault="00214EB4"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Līdzšinējā Kompetences centra darbībā par zinātniskā virziena „Automatizētu </w:t>
            </w:r>
            <w:proofErr w:type="spellStart"/>
            <w:r w:rsidRPr="001B4029">
              <w:rPr>
                <w:rFonts w:ascii="Times New Roman" w:hAnsi="Times New Roman" w:cs="Times New Roman"/>
                <w:sz w:val="24"/>
                <w:szCs w:val="24"/>
                <w:lang w:val="lv-LV"/>
              </w:rPr>
              <w:t>inženiersistēmu</w:t>
            </w:r>
            <w:proofErr w:type="spellEnd"/>
            <w:r w:rsidRPr="001B4029">
              <w:rPr>
                <w:rFonts w:ascii="Times New Roman" w:hAnsi="Times New Roman" w:cs="Times New Roman"/>
                <w:sz w:val="24"/>
                <w:szCs w:val="24"/>
                <w:lang w:val="lv-LV"/>
              </w:rPr>
              <w:t xml:space="preserve"> ražošanas tehnoloģijas” vadītāju izvēlēts Ivars Eniņš (detālu </w:t>
            </w:r>
            <w:proofErr w:type="spellStart"/>
            <w:r w:rsidRPr="001B4029">
              <w:rPr>
                <w:rFonts w:ascii="Times New Roman" w:hAnsi="Times New Roman" w:cs="Times New Roman"/>
                <w:sz w:val="24"/>
                <w:szCs w:val="24"/>
                <w:lang w:val="lv-LV"/>
              </w:rPr>
              <w:t>dzīvesgaitas</w:t>
            </w:r>
            <w:proofErr w:type="spellEnd"/>
            <w:r w:rsidRPr="001B4029">
              <w:rPr>
                <w:rFonts w:ascii="Times New Roman" w:hAnsi="Times New Roman" w:cs="Times New Roman"/>
                <w:sz w:val="24"/>
                <w:szCs w:val="24"/>
                <w:lang w:val="lv-LV"/>
              </w:rPr>
              <w:t xml:space="preserve"> aprakstu skatīt pielikumā pievienotajā CV). Iegūta ievērojama pieredze mašīnbūves un metālapstrādes nozarē un vairāk kā 25 gadu pieredze vadošā amatā.</w:t>
            </w:r>
          </w:p>
          <w:p w14:paraId="157D32A0" w14:textId="77777777" w:rsidR="00214EB4" w:rsidRPr="001B4029" w:rsidRDefault="00214EB4" w:rsidP="00214EB4">
            <w:pPr>
              <w:jc w:val="both"/>
              <w:rPr>
                <w:rFonts w:ascii="Times New Roman" w:hAnsi="Times New Roman" w:cs="Times New Roman"/>
                <w:sz w:val="24"/>
                <w:szCs w:val="24"/>
                <w:lang w:val="lv-LV"/>
              </w:rPr>
            </w:pPr>
          </w:p>
          <w:p w14:paraId="73552442" w14:textId="50BCE71D" w:rsidR="00214EB4" w:rsidRPr="001B4029" w:rsidRDefault="00214EB4"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Par zinātniskā virziena „Materiālu ražošanas tehnoloģijas” vadītāju Kompetences centrā strādājis Latvijas Universitātes Cietvielu fizikas institūta direktors Dr.habil.phys. Andris </w:t>
            </w:r>
            <w:proofErr w:type="spellStart"/>
            <w:r w:rsidRPr="001B4029">
              <w:rPr>
                <w:rFonts w:ascii="Times New Roman" w:hAnsi="Times New Roman" w:cs="Times New Roman"/>
                <w:sz w:val="24"/>
                <w:szCs w:val="24"/>
                <w:lang w:val="lv-LV"/>
              </w:rPr>
              <w:t>Šternbergs</w:t>
            </w:r>
            <w:proofErr w:type="spellEnd"/>
            <w:r w:rsidRPr="001B4029">
              <w:rPr>
                <w:rFonts w:ascii="Times New Roman" w:hAnsi="Times New Roman" w:cs="Times New Roman"/>
                <w:sz w:val="24"/>
                <w:szCs w:val="24"/>
                <w:lang w:val="lv-LV"/>
              </w:rPr>
              <w:t>, (</w:t>
            </w:r>
            <w:proofErr w:type="spellStart"/>
            <w:r w:rsidRPr="001B4029">
              <w:rPr>
                <w:rFonts w:ascii="Times New Roman" w:hAnsi="Times New Roman" w:cs="Times New Roman"/>
                <w:sz w:val="24"/>
                <w:szCs w:val="24"/>
                <w:lang w:val="lv-LV"/>
              </w:rPr>
              <w:t>dzīvesgaitas</w:t>
            </w:r>
            <w:proofErr w:type="spellEnd"/>
            <w:r w:rsidRPr="001B4029">
              <w:rPr>
                <w:rFonts w:ascii="Times New Roman" w:hAnsi="Times New Roman" w:cs="Times New Roman"/>
                <w:sz w:val="24"/>
                <w:szCs w:val="24"/>
                <w:lang w:val="lv-LV"/>
              </w:rPr>
              <w:t xml:space="preserve"> aprakstu skatīt pielikumā pievienotā CV). Andris Šternbergs ir viens no pazīstamākajiem fiziķiem gan Latvijā, gan starptautiski, kas nodarbojas ar jaunu funkcionālo materiālu un nanotehnoloģiju pētniecības  attīstīšanas sekmēšanu un ir atzīts speciālists cietvielu </w:t>
            </w:r>
            <w:r w:rsidRPr="001B4029">
              <w:rPr>
                <w:rFonts w:ascii="Times New Roman" w:hAnsi="Times New Roman" w:cs="Times New Roman"/>
                <w:sz w:val="24"/>
                <w:szCs w:val="24"/>
                <w:lang w:val="lv-LV"/>
              </w:rPr>
              <w:lastRenderedPageBreak/>
              <w:t xml:space="preserve">fizikā un materiālu pētniecībā. 2015. gada 26.novembrī saņēmis Latvijas Zinātņu akadēmijas (LZA) augstāko apbalvojumu - Lielo medaļu un Borisa un Ināras </w:t>
            </w:r>
            <w:proofErr w:type="spellStart"/>
            <w:r w:rsidRPr="001B4029">
              <w:rPr>
                <w:rFonts w:ascii="Times New Roman" w:hAnsi="Times New Roman" w:cs="Times New Roman"/>
                <w:sz w:val="24"/>
                <w:szCs w:val="24"/>
                <w:lang w:val="lv-LV"/>
              </w:rPr>
              <w:t>Teterevu</w:t>
            </w:r>
            <w:proofErr w:type="spellEnd"/>
            <w:r w:rsidRPr="001B4029">
              <w:rPr>
                <w:rFonts w:ascii="Times New Roman" w:hAnsi="Times New Roman" w:cs="Times New Roman"/>
                <w:sz w:val="24"/>
                <w:szCs w:val="24"/>
                <w:lang w:val="lv-LV"/>
              </w:rPr>
              <w:t xml:space="preserve"> fonda prēmiju. </w:t>
            </w:r>
          </w:p>
          <w:p w14:paraId="7F0BE875" w14:textId="77777777" w:rsidR="00214EB4" w:rsidRPr="001B4029" w:rsidRDefault="00214EB4" w:rsidP="00214EB4">
            <w:pPr>
              <w:jc w:val="both"/>
              <w:rPr>
                <w:rFonts w:ascii="Times New Roman" w:hAnsi="Times New Roman" w:cs="Times New Roman"/>
                <w:sz w:val="24"/>
                <w:szCs w:val="24"/>
                <w:lang w:val="lv-LV"/>
              </w:rPr>
            </w:pPr>
          </w:p>
          <w:p w14:paraId="1208A55E" w14:textId="3E040761" w:rsidR="00FD5274" w:rsidRPr="001B4029" w:rsidRDefault="00214EB4"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Zinātniskā virziena „Transporta tehnoloģijas” vadītājs Kompetences centrā šobrīd ir Ziedonis Jorens, viņa </w:t>
            </w:r>
            <w:proofErr w:type="spellStart"/>
            <w:r w:rsidRPr="001B4029">
              <w:rPr>
                <w:rFonts w:ascii="Times New Roman" w:hAnsi="Times New Roman" w:cs="Times New Roman"/>
                <w:sz w:val="24"/>
                <w:szCs w:val="24"/>
                <w:lang w:val="lv-LV"/>
              </w:rPr>
              <w:t>dzīvesgaitas</w:t>
            </w:r>
            <w:proofErr w:type="spellEnd"/>
            <w:r w:rsidRPr="001B4029">
              <w:rPr>
                <w:rFonts w:ascii="Times New Roman" w:hAnsi="Times New Roman" w:cs="Times New Roman"/>
                <w:sz w:val="24"/>
                <w:szCs w:val="24"/>
                <w:lang w:val="lv-LV"/>
              </w:rPr>
              <w:t xml:space="preserve"> aprakstu skatīt pielikumā pievienotā CV.  Z.</w:t>
            </w:r>
            <w:r w:rsidR="00B43C24">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 xml:space="preserve">Jorenam ir profesionālā maģistra grāds mašīnbūves tehnoloģijās. Iegūta ievērojama pieredze mašīnbūves un metālapstrādes nozarē un vairāk kā 25 gadu pieredze vadošā amatā. </w:t>
            </w:r>
            <w:proofErr w:type="spellStart"/>
            <w:r w:rsidRPr="001B4029">
              <w:rPr>
                <w:rFonts w:ascii="Times New Roman" w:hAnsi="Times New Roman" w:cs="Times New Roman"/>
                <w:sz w:val="24"/>
                <w:szCs w:val="24"/>
                <w:lang w:val="lv-LV"/>
              </w:rPr>
              <w:t>Dzīvesgaitas</w:t>
            </w:r>
            <w:proofErr w:type="spellEnd"/>
            <w:r w:rsidRPr="001B4029">
              <w:rPr>
                <w:rFonts w:ascii="Times New Roman" w:hAnsi="Times New Roman" w:cs="Times New Roman"/>
                <w:sz w:val="24"/>
                <w:szCs w:val="24"/>
                <w:lang w:val="lv-LV"/>
              </w:rPr>
              <w:t xml:space="preserve"> aprakstu skatīt pielikumā.</w:t>
            </w:r>
          </w:p>
          <w:p w14:paraId="70BCC137" w14:textId="77777777" w:rsidR="000F3620" w:rsidRPr="001B4029" w:rsidRDefault="000F3620" w:rsidP="00214EB4">
            <w:pPr>
              <w:jc w:val="both"/>
              <w:rPr>
                <w:rFonts w:ascii="Times New Roman" w:hAnsi="Times New Roman" w:cs="Times New Roman"/>
                <w:sz w:val="24"/>
                <w:szCs w:val="24"/>
                <w:lang w:val="lv-LV"/>
              </w:rPr>
            </w:pPr>
          </w:p>
          <w:p w14:paraId="1ED98B53" w14:textId="79FB1DBF" w:rsidR="000F3620" w:rsidRPr="001B4029" w:rsidRDefault="000F3620" w:rsidP="00214EB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Kompetences centra turpmākā darbībā plānots turpināt sadarbību ar esošajiem zinātniskā virziena vadītājiem</w:t>
            </w:r>
            <w:r w:rsidR="00A13BBB" w:rsidRPr="001B4029">
              <w:rPr>
                <w:rFonts w:ascii="Times New Roman" w:hAnsi="Times New Roman" w:cs="Times New Roman"/>
                <w:sz w:val="24"/>
                <w:szCs w:val="24"/>
                <w:lang w:val="lv-LV"/>
              </w:rPr>
              <w:t>.</w:t>
            </w:r>
          </w:p>
        </w:tc>
      </w:tr>
      <w:tr w:rsidR="007F29D1" w:rsidRPr="001B4029" w14:paraId="1CE70544" w14:textId="77777777" w:rsidTr="009C04DD">
        <w:trPr>
          <w:trHeight w:val="237"/>
        </w:trPr>
        <w:tc>
          <w:tcPr>
            <w:tcW w:w="2252" w:type="dxa"/>
            <w:shd w:val="clear" w:color="auto" w:fill="F2F2F2" w:themeFill="background1" w:themeFillShade="F2"/>
          </w:tcPr>
          <w:p w14:paraId="489500E6" w14:textId="77777777" w:rsidR="00FD5274" w:rsidRPr="001B4029" w:rsidRDefault="003E7288"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lastRenderedPageBreak/>
              <w:t>Projekta iesniedzēja</w:t>
            </w:r>
            <w:r w:rsidR="00830683" w:rsidRPr="001B4029">
              <w:rPr>
                <w:rFonts w:ascii="Times New Roman" w:hAnsi="Times New Roman" w:cs="Times New Roman"/>
                <w:sz w:val="24"/>
                <w:szCs w:val="24"/>
                <w:lang w:val="lv-LV"/>
              </w:rPr>
              <w:t xml:space="preserve"> (finansējuma saņēmēja)</w:t>
            </w:r>
            <w:r w:rsidR="00FD5274" w:rsidRPr="001B4029">
              <w:rPr>
                <w:rFonts w:ascii="Times New Roman" w:hAnsi="Times New Roman" w:cs="Times New Roman"/>
                <w:sz w:val="24"/>
                <w:szCs w:val="24"/>
                <w:lang w:val="lv-LV"/>
              </w:rPr>
              <w:t xml:space="preserve"> un dalībnieku iepriekšēj</w:t>
            </w:r>
            <w:r w:rsidR="00830683" w:rsidRPr="001B4029">
              <w:rPr>
                <w:rFonts w:ascii="Times New Roman" w:hAnsi="Times New Roman" w:cs="Times New Roman"/>
                <w:sz w:val="24"/>
                <w:szCs w:val="24"/>
                <w:lang w:val="lv-LV"/>
              </w:rPr>
              <w:t>ās</w:t>
            </w:r>
            <w:r w:rsidR="00FD5274" w:rsidRPr="001B4029">
              <w:rPr>
                <w:rFonts w:ascii="Times New Roman" w:hAnsi="Times New Roman" w:cs="Times New Roman"/>
                <w:sz w:val="24"/>
                <w:szCs w:val="24"/>
                <w:lang w:val="lv-LV"/>
              </w:rPr>
              <w:t xml:space="preserve"> pieredz</w:t>
            </w:r>
            <w:r w:rsidR="00830683" w:rsidRPr="001B4029">
              <w:rPr>
                <w:rFonts w:ascii="Times New Roman" w:hAnsi="Times New Roman" w:cs="Times New Roman"/>
                <w:sz w:val="24"/>
                <w:szCs w:val="24"/>
                <w:lang w:val="lv-LV"/>
              </w:rPr>
              <w:t xml:space="preserve">es </w:t>
            </w:r>
            <w:r w:rsidR="00FD5274" w:rsidRPr="001B4029">
              <w:rPr>
                <w:rFonts w:ascii="Times New Roman" w:hAnsi="Times New Roman" w:cs="Times New Roman"/>
                <w:sz w:val="24"/>
                <w:szCs w:val="24"/>
                <w:lang w:val="lv-LV"/>
              </w:rPr>
              <w:t>inovatīvu projektu izstrādē un tā ietvaros veiktu darbību</w:t>
            </w:r>
            <w:r w:rsidR="00830683" w:rsidRPr="001B4029">
              <w:rPr>
                <w:rFonts w:ascii="Times New Roman" w:hAnsi="Times New Roman" w:cs="Times New Roman"/>
                <w:sz w:val="24"/>
                <w:szCs w:val="24"/>
                <w:lang w:val="lv-LV"/>
              </w:rPr>
              <w:t xml:space="preserve"> apraksts</w:t>
            </w:r>
          </w:p>
          <w:p w14:paraId="3C000B16" w14:textId="4E65A693"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1B68F731" w14:textId="79030902" w:rsidR="00FD5274" w:rsidRPr="001B4029" w:rsidRDefault="00A13BBB" w:rsidP="00A13BBB">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Projekta iesniedzējs SIA “MAŠĪNBŪVES KOMPETENCES CENTRS” Eiropas Savienības struktūrfondu un Kohēzijas fonda 2014.-2020.g. plānošanas perioda programmas otrās atlases kārtas ietvaros izstrādāja un realizēja projektu “Mašīnbūves kompetences centra izveide”, projekta Nr. 1.2.1.1/16/A/003. </w:t>
            </w:r>
            <w:r w:rsidR="00441695" w:rsidRPr="001B4029">
              <w:rPr>
                <w:rFonts w:ascii="Times New Roman" w:hAnsi="Times New Roman" w:cs="Times New Roman"/>
                <w:sz w:val="24"/>
                <w:szCs w:val="24"/>
                <w:lang w:val="lv-LV"/>
              </w:rPr>
              <w:t xml:space="preserve">Tika realizēti 27 pētniecības projekti un jaunradīto produktu un tehnoloģiju skaits atbalstītajos uzņēmumos pēc atbalsta saņemšanas bija 26 vienības. </w:t>
            </w:r>
            <w:r w:rsidRPr="001B4029">
              <w:rPr>
                <w:rFonts w:ascii="Times New Roman" w:hAnsi="Times New Roman" w:cs="Times New Roman"/>
                <w:sz w:val="24"/>
                <w:szCs w:val="24"/>
                <w:lang w:val="lv-LV"/>
              </w:rPr>
              <w:t xml:space="preserve">Pētniecības projektu īstenošanā un kā nozares sadarbības partneri tika piesaistīti </w:t>
            </w:r>
            <w:r w:rsidR="00441695" w:rsidRPr="001B4029">
              <w:rPr>
                <w:rFonts w:ascii="Times New Roman" w:hAnsi="Times New Roman" w:cs="Times New Roman"/>
                <w:sz w:val="24"/>
                <w:szCs w:val="24"/>
                <w:lang w:val="lv-LV"/>
              </w:rPr>
              <w:t xml:space="preserve">29 </w:t>
            </w:r>
            <w:r w:rsidRPr="001B4029">
              <w:rPr>
                <w:rFonts w:ascii="Times New Roman" w:hAnsi="Times New Roman" w:cs="Times New Roman"/>
                <w:sz w:val="24"/>
                <w:szCs w:val="24"/>
                <w:lang w:val="lv-LV"/>
              </w:rPr>
              <w:t>inovatīvi uzņēmumi, kas ik gadus vismaz 6% investē pētniecībā un attīstībā (faktiski vidējais rādītājs pēdējos trīs gados – 23%), tādi uzņēmumi, kuriem ir augsta eksportspēja (faktiskais rādītājs - vidējais eksports pēdējo trīs gadu periodā 68%, savukārt eksports no jauniem produktiem – vairāk kā 30%). Papildus tika izvirzīta obligāta prasība par iepriekšēju sadarbību ar zinātniskajām organizācijām vai izstrādātu un ražošanā ieviestu jaunu produktu vai tehnoloģiju, kā arī pētniecības projektu augstu komercializācijas potenciālu, t.i., pēc iespējas lielāku eksperimentālās izstrādes īpatsvaru.</w:t>
            </w:r>
          </w:p>
          <w:p w14:paraId="64935D55" w14:textId="77777777" w:rsidR="00777527" w:rsidRPr="001B4029" w:rsidRDefault="00777527" w:rsidP="00777527">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Kopējā finansējuma apguve otrajā atlases kārtā 95,73%, kopējais apgūtais finansējums 3 069 495,17 EUR.</w:t>
            </w:r>
          </w:p>
          <w:p w14:paraId="0DBDC556" w14:textId="77777777" w:rsidR="00777527" w:rsidRPr="001B4029" w:rsidRDefault="00777527" w:rsidP="00777527">
            <w:pPr>
              <w:jc w:val="both"/>
              <w:rPr>
                <w:rFonts w:ascii="Times New Roman" w:hAnsi="Times New Roman" w:cs="Times New Roman"/>
                <w:sz w:val="24"/>
                <w:szCs w:val="24"/>
                <w:lang w:val="lv-LV"/>
              </w:rPr>
            </w:pPr>
          </w:p>
          <w:p w14:paraId="1BA62B36" w14:textId="1AB3E5BB" w:rsidR="00777527" w:rsidRPr="001B4029" w:rsidRDefault="00777527" w:rsidP="00777527">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Eiropas Savienības struktūrfondu un Kohēzijas fonda 2014.-2020.g. plānošanas perioda programmas ceturtās atlases kārtas ietvaros mašīnbūves kompetences centrs realizēja 27 pētnieciskos projektus</w:t>
            </w:r>
            <w:r w:rsidR="00441695" w:rsidRPr="001B4029">
              <w:rPr>
                <w:rFonts w:ascii="Times New Roman" w:hAnsi="Times New Roman" w:cs="Times New Roman"/>
                <w:sz w:val="24"/>
                <w:szCs w:val="24"/>
                <w:lang w:val="lv-LV"/>
              </w:rPr>
              <w:t xml:space="preserve"> ar 23 atbalstītiem komersantiem</w:t>
            </w:r>
            <w:r w:rsidRPr="001B4029">
              <w:rPr>
                <w:rFonts w:ascii="Times New Roman" w:hAnsi="Times New Roman" w:cs="Times New Roman"/>
                <w:sz w:val="24"/>
                <w:szCs w:val="24"/>
                <w:lang w:val="lv-LV"/>
              </w:rPr>
              <w:t xml:space="preserve"> trīs pētniecības virzienos projekta “Mašīnbūves kompetences centrs”, projekta Nr.  1.2.1.1/18/A/008, ietvaros, tostarp 11 starpnozaru pētniecības projektus efektīvā sadarbībā. Projekta īstenošanas laikā pieauga interese par starpnozaru pētniecības projektu īstenošanu un kopumā to īpatsvars pieauga līdz 42% no kopējā finansējuma. </w:t>
            </w:r>
          </w:p>
          <w:p w14:paraId="2E694E24" w14:textId="7D0D9751" w:rsidR="00777527" w:rsidRPr="001B4029" w:rsidRDefault="00777527" w:rsidP="00777527">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Kopējā finansējuma apguve ceturtajā atlases kārtā 99,74%, kopējais apgūtais finansējums 4 695 694,19 EUR.</w:t>
            </w:r>
            <w:r w:rsidR="00441695" w:rsidRPr="001B4029">
              <w:rPr>
                <w:rFonts w:ascii="Times New Roman" w:hAnsi="Times New Roman" w:cs="Times New Roman"/>
                <w:sz w:val="24"/>
                <w:szCs w:val="24"/>
                <w:lang w:val="lv-LV"/>
              </w:rPr>
              <w:t xml:space="preserve"> Privātās investīcijas, kas papildina valsts atbalstu inovācijām vai pētniecības un izstrādes projektiem, bija 4 755 553.95 EUR.</w:t>
            </w:r>
          </w:p>
          <w:p w14:paraId="70949C81" w14:textId="77777777" w:rsidR="00777527" w:rsidRPr="001B4029" w:rsidRDefault="00777527" w:rsidP="00777527">
            <w:pPr>
              <w:jc w:val="both"/>
              <w:rPr>
                <w:rFonts w:ascii="Times New Roman" w:hAnsi="Times New Roman" w:cs="Times New Roman"/>
                <w:sz w:val="24"/>
                <w:szCs w:val="24"/>
                <w:lang w:val="lv-LV"/>
              </w:rPr>
            </w:pPr>
          </w:p>
          <w:p w14:paraId="46C4E837" w14:textId="014E6C3D" w:rsidR="00375014" w:rsidRPr="001B4029" w:rsidRDefault="00777527" w:rsidP="00375014">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Latvijas Atveseļošanas un noturības mehānisma ietvaros no 2022.</w:t>
            </w:r>
            <w:r w:rsidR="00857B1D">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gada septembra līdz 2024</w:t>
            </w:r>
            <w:r w:rsidR="00857B1D">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 xml:space="preserve">.gada decembra beigām (provizoriski) tiek īstenots projekts “Mašīnbūves kompetences centrs”, projekta Nr. 5.1.1.2.i.0/1/22/A/CFLA/006. Šobrīd projekta mērķi ir sasniegti un ir apstiprināti pētniecības projekti par visu paredzēto summu </w:t>
            </w:r>
            <w:r w:rsidR="00375014" w:rsidRPr="001B4029">
              <w:rPr>
                <w:rFonts w:ascii="Times New Roman" w:hAnsi="Times New Roman" w:cs="Times New Roman"/>
                <w:sz w:val="24"/>
                <w:szCs w:val="24"/>
                <w:lang w:val="lv-LV"/>
              </w:rPr>
              <w:t xml:space="preserve">kopā 2 819 964.81 EUR. Apstiprināti un tiek īstenoti 19 pētniecības projekti, tostarp 10 starpnozaru pētniecības projekti, nosakot stingras prasības uzņēmumiem strādāt efektīvā sadarbībā, sadarbojoties vismaz diviem partneriem ar atšķirīgiem saimnieciskās darbības veikšanas kodiem pirmajā līmenī. Starpnozaru pētniecības projektu </w:t>
            </w:r>
            <w:r w:rsidR="00441695" w:rsidRPr="001B4029">
              <w:rPr>
                <w:rFonts w:ascii="Times New Roman" w:hAnsi="Times New Roman" w:cs="Times New Roman"/>
                <w:sz w:val="24"/>
                <w:szCs w:val="24"/>
                <w:lang w:val="lv-LV"/>
              </w:rPr>
              <w:t>īpatsvars par spīti stingrākām prasībām pieauga līdz 61</w:t>
            </w:r>
            <w:r w:rsidR="00375014" w:rsidRPr="001B4029">
              <w:rPr>
                <w:rFonts w:ascii="Times New Roman" w:hAnsi="Times New Roman" w:cs="Times New Roman"/>
                <w:sz w:val="24"/>
                <w:szCs w:val="24"/>
                <w:lang w:val="lv-LV"/>
              </w:rPr>
              <w:t xml:space="preserve">% no kopējā finansējuma. </w:t>
            </w:r>
          </w:p>
          <w:p w14:paraId="047068A3" w14:textId="0AE9D3C1" w:rsidR="00777527" w:rsidRPr="001B4029" w:rsidRDefault="00777527" w:rsidP="00777527">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Paredzams, ka turpmāk</w:t>
            </w:r>
            <w:r w:rsidR="00857B1D">
              <w:rPr>
                <w:rFonts w:ascii="Times New Roman" w:hAnsi="Times New Roman" w:cs="Times New Roman"/>
                <w:sz w:val="24"/>
                <w:szCs w:val="24"/>
                <w:lang w:val="lv-LV"/>
              </w:rPr>
              <w:t>aj</w:t>
            </w:r>
            <w:r w:rsidRPr="001B4029">
              <w:rPr>
                <w:rFonts w:ascii="Times New Roman" w:hAnsi="Times New Roman" w:cs="Times New Roman"/>
                <w:sz w:val="24"/>
                <w:szCs w:val="24"/>
                <w:lang w:val="lv-LV"/>
              </w:rPr>
              <w:t xml:space="preserve">ā </w:t>
            </w:r>
            <w:r w:rsidR="006D305C">
              <w:rPr>
                <w:rFonts w:ascii="Times New Roman" w:hAnsi="Times New Roman" w:cs="Times New Roman"/>
                <w:sz w:val="24"/>
                <w:szCs w:val="24"/>
                <w:lang w:val="lv-LV"/>
              </w:rPr>
              <w:t>darbībā šī tendence saglabāsies</w:t>
            </w:r>
            <w:r w:rsidRPr="001B4029">
              <w:rPr>
                <w:rFonts w:ascii="Times New Roman" w:hAnsi="Times New Roman" w:cs="Times New Roman"/>
                <w:sz w:val="24"/>
                <w:szCs w:val="24"/>
                <w:lang w:val="lv-LV"/>
              </w:rPr>
              <w:t>.</w:t>
            </w:r>
          </w:p>
          <w:p w14:paraId="3B49E51B" w14:textId="02DF1FDF" w:rsidR="00777527" w:rsidRPr="001B4029" w:rsidRDefault="00777527" w:rsidP="00777527">
            <w:pPr>
              <w:jc w:val="both"/>
              <w:rPr>
                <w:rFonts w:ascii="Times New Roman" w:hAnsi="Times New Roman" w:cs="Times New Roman"/>
                <w:sz w:val="24"/>
                <w:szCs w:val="24"/>
                <w:lang w:val="lv-LV"/>
              </w:rPr>
            </w:pPr>
          </w:p>
        </w:tc>
      </w:tr>
      <w:tr w:rsidR="00902D63" w:rsidRPr="001B4029" w14:paraId="06E56929" w14:textId="77777777" w:rsidTr="003F48B2">
        <w:tc>
          <w:tcPr>
            <w:tcW w:w="9350" w:type="dxa"/>
            <w:gridSpan w:val="4"/>
            <w:shd w:val="clear" w:color="auto" w:fill="D9D9D9" w:themeFill="background1" w:themeFillShade="D9"/>
          </w:tcPr>
          <w:p w14:paraId="3D051437" w14:textId="681C49CC" w:rsidR="00902D63" w:rsidRPr="001B4029" w:rsidRDefault="00902D63" w:rsidP="00B37CC1">
            <w:pPr>
              <w:pStyle w:val="Sarakstarindkopa"/>
              <w:numPr>
                <w:ilvl w:val="0"/>
                <w:numId w:val="4"/>
              </w:numPr>
              <w:ind w:left="451"/>
              <w:jc w:val="both"/>
              <w:rPr>
                <w:rFonts w:cs="Times New Roman"/>
                <w:sz w:val="24"/>
                <w:szCs w:val="24"/>
                <w:lang w:val="lv-LV"/>
              </w:rPr>
            </w:pPr>
            <w:r w:rsidRPr="001B4029">
              <w:rPr>
                <w:rFonts w:cs="Times New Roman"/>
                <w:sz w:val="24"/>
                <w:szCs w:val="24"/>
                <w:lang w:val="lv-LV"/>
              </w:rPr>
              <w:lastRenderedPageBreak/>
              <w:t>Pētniecības projektu vērtēšanas komisija</w:t>
            </w:r>
          </w:p>
        </w:tc>
      </w:tr>
      <w:tr w:rsidR="007F29D1" w:rsidRPr="001B4029" w14:paraId="59DC52ED" w14:textId="77777777" w:rsidTr="009C04DD">
        <w:trPr>
          <w:trHeight w:val="236"/>
        </w:trPr>
        <w:tc>
          <w:tcPr>
            <w:tcW w:w="2252" w:type="dxa"/>
            <w:shd w:val="clear" w:color="auto" w:fill="F2F2F2" w:themeFill="background1" w:themeFillShade="F2"/>
          </w:tcPr>
          <w:p w14:paraId="010CED52" w14:textId="77777777" w:rsidR="00747B2D" w:rsidRPr="001B4029" w:rsidRDefault="00747B2D"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Sastāva atbilstības pētniecības virzienam un lomu apraksts</w:t>
            </w:r>
          </w:p>
          <w:p w14:paraId="4174756F" w14:textId="5F3F43C7"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53B03179" w14:textId="5C65A4B7" w:rsidR="00B7468D" w:rsidRPr="001B4029" w:rsidRDefault="00B7468D" w:rsidP="00B7468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Pētniecības projektu vērtēšanas komisija ir konsultatīva komisija, kuru izveidos Kompetences centrs, lai veiktu visu attiecīgajā projektu iesniegumu atlasē iesniegto pētniecības projektu vērtēšanu. Komisija tika izveidota, izvēloties </w:t>
            </w:r>
            <w:r w:rsidR="007C1E99" w:rsidRPr="001B4029">
              <w:rPr>
                <w:rFonts w:ascii="Times New Roman" w:hAnsi="Times New Roman" w:cs="Times New Roman"/>
                <w:sz w:val="24"/>
                <w:szCs w:val="24"/>
                <w:lang w:val="lv-LV"/>
              </w:rPr>
              <w:t xml:space="preserve">tās </w:t>
            </w:r>
            <w:r w:rsidRPr="001B4029">
              <w:rPr>
                <w:rFonts w:ascii="Times New Roman" w:hAnsi="Times New Roman" w:cs="Times New Roman"/>
                <w:sz w:val="24"/>
                <w:szCs w:val="24"/>
                <w:lang w:val="lv-LV"/>
              </w:rPr>
              <w:t>dalībniekus atklātā uzsaukumā un pārliecinoties par interešu</w:t>
            </w:r>
            <w:r w:rsidR="00E72C5A" w:rsidRPr="001B4029">
              <w:rPr>
                <w:rFonts w:ascii="Times New Roman" w:hAnsi="Times New Roman" w:cs="Times New Roman"/>
                <w:sz w:val="24"/>
                <w:szCs w:val="24"/>
                <w:lang w:val="lv-LV"/>
              </w:rPr>
              <w:t xml:space="preserve"> </w:t>
            </w:r>
            <w:r w:rsidRPr="001B4029">
              <w:rPr>
                <w:rFonts w:ascii="Times New Roman" w:hAnsi="Times New Roman" w:cs="Times New Roman"/>
                <w:sz w:val="24"/>
                <w:szCs w:val="24"/>
                <w:lang w:val="lv-LV"/>
              </w:rPr>
              <w:t>konflikta, korupcijas un krāpšanas neesību.</w:t>
            </w:r>
          </w:p>
          <w:p w14:paraId="531D852B" w14:textId="77777777" w:rsidR="00E72C5A" w:rsidRPr="001B4029" w:rsidRDefault="00E72C5A" w:rsidP="00B7468D">
            <w:pPr>
              <w:jc w:val="both"/>
              <w:rPr>
                <w:rFonts w:ascii="Times New Roman" w:hAnsi="Times New Roman" w:cs="Times New Roman"/>
                <w:sz w:val="24"/>
                <w:szCs w:val="24"/>
                <w:lang w:val="lv-LV"/>
              </w:rPr>
            </w:pPr>
          </w:p>
          <w:p w14:paraId="0AD0E0F2" w14:textId="53EA2E27" w:rsidR="00B7468D" w:rsidRPr="001B4029" w:rsidRDefault="00B7468D" w:rsidP="006D305C">
            <w:pPr>
              <w:keepNext/>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Komisijā tiks iekļauti šādi dalībnieki:</w:t>
            </w:r>
          </w:p>
          <w:p w14:paraId="35CF4A83" w14:textId="4C1E8872" w:rsidR="00B7468D" w:rsidRPr="001B4029" w:rsidRDefault="00B7468D" w:rsidP="00B7468D">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vismaz viens nozares komersanta pārstāvis, kurš ieguvis augstāko izglītību attiecīgajā nozarē vai augstāko izglītību un vismaz piecu gadu darba pieredzi attiecīgajā nozarē;</w:t>
            </w:r>
          </w:p>
          <w:p w14:paraId="733F7EB5" w14:textId="2E8AA621" w:rsidR="00B7468D" w:rsidRPr="001B4029" w:rsidRDefault="00B7468D" w:rsidP="00B7468D">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 xml:space="preserve">nozares ministrijas </w:t>
            </w:r>
            <w:r w:rsidR="00E72C5A" w:rsidRPr="001B4029">
              <w:rPr>
                <w:rFonts w:cs="Times New Roman"/>
                <w:b w:val="0"/>
                <w:sz w:val="24"/>
                <w:szCs w:val="24"/>
                <w:lang w:val="lv-LV"/>
              </w:rPr>
              <w:t xml:space="preserve">– Ekonomikas ministrijas </w:t>
            </w:r>
            <w:r w:rsidRPr="001B4029">
              <w:rPr>
                <w:rFonts w:cs="Times New Roman"/>
                <w:b w:val="0"/>
                <w:sz w:val="24"/>
                <w:szCs w:val="24"/>
                <w:lang w:val="lv-LV"/>
              </w:rPr>
              <w:t>pārstāvi</w:t>
            </w:r>
            <w:r w:rsidR="00E72C5A" w:rsidRPr="001B4029">
              <w:rPr>
                <w:rFonts w:cs="Times New Roman"/>
                <w:b w:val="0"/>
                <w:sz w:val="24"/>
                <w:szCs w:val="24"/>
                <w:lang w:val="lv-LV"/>
              </w:rPr>
              <w:t>s.</w:t>
            </w:r>
          </w:p>
          <w:p w14:paraId="1813FBDC" w14:textId="77777777" w:rsidR="00E72C5A" w:rsidRPr="001B4029" w:rsidRDefault="00E72C5A" w:rsidP="00E72C5A">
            <w:pPr>
              <w:pStyle w:val="Sarakstarindkopa"/>
              <w:ind w:left="720"/>
              <w:jc w:val="both"/>
              <w:rPr>
                <w:rFonts w:cs="Times New Roman"/>
                <w:b w:val="0"/>
                <w:sz w:val="24"/>
                <w:szCs w:val="24"/>
                <w:lang w:val="lv-LV"/>
              </w:rPr>
            </w:pPr>
          </w:p>
          <w:p w14:paraId="65ECDADD" w14:textId="2B39596B" w:rsidR="00B7468D" w:rsidRPr="001B4029" w:rsidRDefault="00E72C5A" w:rsidP="00B7468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Nepieciešamības gadījumā komisijā tiks iekļauti šādi dalībnieki</w:t>
            </w:r>
            <w:r w:rsidR="00B7468D" w:rsidRPr="001B4029">
              <w:rPr>
                <w:rFonts w:ascii="Times New Roman" w:hAnsi="Times New Roman" w:cs="Times New Roman"/>
                <w:sz w:val="24"/>
                <w:szCs w:val="24"/>
                <w:lang w:val="lv-LV"/>
              </w:rPr>
              <w:t>:</w:t>
            </w:r>
          </w:p>
          <w:p w14:paraId="2F591773" w14:textId="77777777" w:rsidR="00E72C5A" w:rsidRPr="001B4029" w:rsidRDefault="00B7468D" w:rsidP="00B7468D">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pētniecības un zināšanu izpl</w:t>
            </w:r>
            <w:r w:rsidR="00E72C5A" w:rsidRPr="001B4029">
              <w:rPr>
                <w:rFonts w:cs="Times New Roman"/>
                <w:b w:val="0"/>
                <w:sz w:val="24"/>
                <w:szCs w:val="24"/>
                <w:lang w:val="lv-LV"/>
              </w:rPr>
              <w:t>atīšanas organizāciju pārstāvji</w:t>
            </w:r>
            <w:r w:rsidRPr="001B4029">
              <w:rPr>
                <w:rFonts w:cs="Times New Roman"/>
                <w:b w:val="0"/>
                <w:sz w:val="24"/>
                <w:szCs w:val="24"/>
                <w:lang w:val="lv-LV"/>
              </w:rPr>
              <w:t>, kuri ieguvuši maģistra vai zinātņu</w:t>
            </w:r>
            <w:r w:rsidR="00E72C5A" w:rsidRPr="001B4029">
              <w:rPr>
                <w:rFonts w:cs="Times New Roman"/>
                <w:b w:val="0"/>
                <w:sz w:val="24"/>
                <w:szCs w:val="24"/>
                <w:lang w:val="lv-LV"/>
              </w:rPr>
              <w:t xml:space="preserve"> </w:t>
            </w:r>
            <w:r w:rsidRPr="001B4029">
              <w:rPr>
                <w:rFonts w:cs="Times New Roman"/>
                <w:b w:val="0"/>
                <w:sz w:val="24"/>
                <w:szCs w:val="24"/>
                <w:lang w:val="lv-LV"/>
              </w:rPr>
              <w:t>doktora grādu attiecīgajā nozarē;</w:t>
            </w:r>
          </w:p>
          <w:p w14:paraId="54A8AC2B" w14:textId="6A7B4378" w:rsidR="00E72C5A" w:rsidRPr="001B4029" w:rsidRDefault="00B7468D" w:rsidP="00B7468D">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 xml:space="preserve">citu nozaru kompetences centru, sadarbības tīklu, asociāciju vai citu </w:t>
            </w:r>
            <w:r w:rsidR="00E72C5A" w:rsidRPr="001B4029">
              <w:rPr>
                <w:rFonts w:cs="Times New Roman"/>
                <w:b w:val="0"/>
                <w:sz w:val="24"/>
                <w:szCs w:val="24"/>
                <w:lang w:val="lv-LV"/>
              </w:rPr>
              <w:t>organizāciju pārstāvji;</w:t>
            </w:r>
          </w:p>
          <w:p w14:paraId="2FD4E410" w14:textId="77777777" w:rsidR="00B7468D" w:rsidRPr="001B4029" w:rsidRDefault="00E72C5A" w:rsidP="00B7468D">
            <w:pPr>
              <w:pStyle w:val="Sarakstarindkopa"/>
              <w:numPr>
                <w:ilvl w:val="0"/>
                <w:numId w:val="5"/>
              </w:numPr>
              <w:jc w:val="both"/>
              <w:rPr>
                <w:rFonts w:cs="Times New Roman"/>
                <w:sz w:val="24"/>
                <w:szCs w:val="24"/>
                <w:lang w:val="lv-LV"/>
              </w:rPr>
            </w:pPr>
            <w:r w:rsidRPr="001B4029">
              <w:rPr>
                <w:rFonts w:cs="Times New Roman"/>
                <w:b w:val="0"/>
                <w:sz w:val="24"/>
                <w:szCs w:val="24"/>
                <w:lang w:val="lv-LV"/>
              </w:rPr>
              <w:t>zinātniskā virziena vadītāji</w:t>
            </w:r>
            <w:r w:rsidR="00B7468D" w:rsidRPr="001B4029">
              <w:rPr>
                <w:rFonts w:cs="Times New Roman"/>
                <w:b w:val="0"/>
                <w:sz w:val="24"/>
                <w:szCs w:val="24"/>
                <w:lang w:val="lv-LV"/>
              </w:rPr>
              <w:t>.</w:t>
            </w:r>
          </w:p>
          <w:p w14:paraId="1E06D3A0" w14:textId="77777777" w:rsidR="00E72C5A" w:rsidRPr="001B4029" w:rsidRDefault="00E72C5A" w:rsidP="00E72C5A">
            <w:pPr>
              <w:jc w:val="both"/>
              <w:rPr>
                <w:rFonts w:cs="Times New Roman"/>
                <w:sz w:val="24"/>
                <w:szCs w:val="24"/>
                <w:lang w:val="lv-LV"/>
              </w:rPr>
            </w:pPr>
          </w:p>
          <w:p w14:paraId="1D5591D6" w14:textId="77777777" w:rsidR="00E72C5A" w:rsidRPr="001B4029" w:rsidRDefault="00E72C5A" w:rsidP="00E72C5A">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Pētniecības projektu vērtēšanas komisijai būs šādi uzdevumi:</w:t>
            </w:r>
          </w:p>
          <w:p w14:paraId="3EB9B2F7" w14:textId="3525591E"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pārliecināties, ka pētniecības projekta iesniegumā ir norādīta un analizēta veicamo vai jau veikto ieguldījumu lietderība un pamatotība, kā arī komercializācijas potenciāls;</w:t>
            </w:r>
          </w:p>
          <w:p w14:paraId="0AF115E9" w14:textId="7F4D3BE2"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pārliecināties, ka pētniecības projekta iesniegumā ir norādīta pētniecības projekta atbilstība projekta darbības plānam, ņemot vērā viedās specializācijas ilgtermiņa stratēģijā noteiktos virzienus un mērķus;</w:t>
            </w:r>
          </w:p>
          <w:p w14:paraId="4A4EE8EF" w14:textId="2AB1F7A6" w:rsidR="00E72C5A" w:rsidRPr="001B4029" w:rsidRDefault="00E72C5A" w:rsidP="00E72C5A">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vērtēt pētniecības projekta iesniegumu un starpposma un gala noslēguma pārskatus, balsojot par to apstiprināšanu vai noraidīšanu;</w:t>
            </w:r>
          </w:p>
          <w:p w14:paraId="504B03E5" w14:textId="12527A11" w:rsidR="00E72C5A" w:rsidRPr="001B4029" w:rsidRDefault="00E72C5A" w:rsidP="00E72C5A">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lastRenderedPageBreak/>
              <w:t>uzraudzīt, lai tiktu sasniegti pētniecības projektā minētie darbības rādītāji;</w:t>
            </w:r>
          </w:p>
          <w:p w14:paraId="68E157AF" w14:textId="283C6576" w:rsidR="00E72C5A" w:rsidRPr="001B4029" w:rsidRDefault="00E72C5A" w:rsidP="00E72C5A">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 xml:space="preserve">pārliecināties, ka finansējuma saņēmējs ir veicis atbilstošu </w:t>
            </w:r>
            <w:proofErr w:type="spellStart"/>
            <w:r w:rsidRPr="001B4029">
              <w:rPr>
                <w:rFonts w:cs="Times New Roman"/>
                <w:b w:val="0"/>
                <w:sz w:val="24"/>
                <w:szCs w:val="24"/>
                <w:lang w:val="lv-LV"/>
              </w:rPr>
              <w:t>priekšizvērtējumu</w:t>
            </w:r>
            <w:proofErr w:type="spellEnd"/>
            <w:r w:rsidRPr="001B4029">
              <w:rPr>
                <w:rFonts w:cs="Times New Roman"/>
                <w:b w:val="0"/>
                <w:sz w:val="24"/>
                <w:szCs w:val="24"/>
                <w:lang w:val="lv-LV"/>
              </w:rPr>
              <w:t xml:space="preserve"> par interešu konflikta,</w:t>
            </w:r>
          </w:p>
          <w:p w14:paraId="63E8505B" w14:textId="5282C509"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krāpšanas un korupcijas riska un dubultā finansējuma neesību pētniecības projektu izvērtēšanas un apstiprināšanas procesā, veicot nepieciešamās darbības to novēršanā un labošanā un nodrošinot objektivitāti un vienlīdzīgu pieeju visiem sadarbības partneriem;</w:t>
            </w:r>
          </w:p>
          <w:p w14:paraId="625F90DE" w14:textId="4350573E" w:rsidR="00E72C5A" w:rsidRPr="001B4029" w:rsidRDefault="00E72C5A" w:rsidP="00E72C5A">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nodrošināt pētniecības projektu izvērtēšanas dokumentēšanu un vērtēšanas procesa caurspīdīgumu;</w:t>
            </w:r>
          </w:p>
          <w:p w14:paraId="100DE7AB" w14:textId="14370FCF"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nodrošināt, ka pētniecības projektu vērtēšanas procesā tiek ievērota dzimumu līdztiesība un vienlīdzīgu iespēju princips;</w:t>
            </w:r>
          </w:p>
          <w:p w14:paraId="1F44B638" w14:textId="2F4E39C3"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nodrošināt principa "nenodarīt būtisku kaitējumu" ievērošanu pētniecības projektu apstiprināšanā, lai iekļautajai darbībai ir nebūtiska ietekme vai nav paredzamas ietekmes uz visiem vides mērķiem, vērtējot gan tiešās, gan primārās netiešās sekas visā aprites ciklā saskaņā ar regulas 2021/241 2. panta 6. punktu;</w:t>
            </w:r>
          </w:p>
          <w:p w14:paraId="2722D8D9" w14:textId="7FBFC9A5"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pamatojoties uz finansējuma saņēmēja veikto izmaksu izvērtējumu, pārliecināties, ka sadarbības partnera pētniecības projekta izdevumi ir nepieciešami pētījuma rezultātu sasniegšanai;</w:t>
            </w:r>
          </w:p>
          <w:p w14:paraId="196E8A1A" w14:textId="1FB9F56A"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aizpildīt individuālo vērtējumu par pētniecības projektu atbilstību noteiktajiem kritērijiem, pirms pētniecības projektu vērtēšanas komisijas sēdes un starpposma un gala nodevumu vērtēšanas parakstot šo objektivitātes, konfidencialitātes un interešu konflikta neesības apliecinājumu. Apliecinājums jāsniedz visiem, kuri ar balsstiesībām piedalās pētniecības projektu vērtēšanas komisijas darbībā;</w:t>
            </w:r>
          </w:p>
          <w:p w14:paraId="71F7CFF2" w14:textId="4542E2EA"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sniegt priekšlikumus viedās specializācijas ilgtermiņa stratēģijas pilnveidošanai un darbības plāna precizēšanai;</w:t>
            </w:r>
          </w:p>
          <w:p w14:paraId="58B6591B" w14:textId="4999CF1C"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ieteikt finansējuma saņēmējam iesaistīt ārējo ekspertu pētniecības projektu un gala noslēguma pārskatu vērtēšanā, ja nepieciešams.</w:t>
            </w:r>
          </w:p>
          <w:p w14:paraId="2CAB52B8" w14:textId="77777777" w:rsidR="00E72C5A" w:rsidRPr="001B4029" w:rsidRDefault="00E72C5A" w:rsidP="00E72C5A">
            <w:pPr>
              <w:jc w:val="both"/>
              <w:rPr>
                <w:rFonts w:cs="Times New Roman"/>
                <w:sz w:val="24"/>
                <w:szCs w:val="24"/>
                <w:lang w:val="lv-LV"/>
              </w:rPr>
            </w:pPr>
          </w:p>
          <w:p w14:paraId="59D7A351" w14:textId="77777777" w:rsidR="00E72C5A" w:rsidRPr="001B4029" w:rsidRDefault="00E72C5A" w:rsidP="00E72C5A">
            <w:pPr>
              <w:jc w:val="both"/>
              <w:rPr>
                <w:rFonts w:cs="Times New Roman"/>
                <w:sz w:val="24"/>
                <w:szCs w:val="24"/>
                <w:lang w:val="lv-LV"/>
              </w:rPr>
            </w:pPr>
            <w:r w:rsidRPr="001B4029">
              <w:rPr>
                <w:rFonts w:ascii="Times New Roman" w:hAnsi="Times New Roman" w:cs="Times New Roman"/>
                <w:sz w:val="24"/>
                <w:szCs w:val="24"/>
                <w:lang w:val="lv-LV"/>
              </w:rPr>
              <w:t>Nozares ministrijas pārstāvis, darbojoties pētniecības projektu vērtēšanas komisijā, pārliecinās</w:t>
            </w:r>
            <w:r w:rsidRPr="001B4029">
              <w:rPr>
                <w:rFonts w:cs="Times New Roman"/>
                <w:sz w:val="24"/>
                <w:szCs w:val="24"/>
                <w:lang w:val="lv-LV"/>
              </w:rPr>
              <w:t>:</w:t>
            </w:r>
          </w:p>
          <w:p w14:paraId="62FE1CE6" w14:textId="55E682F5"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ka pētniecības projektu vērtēšanas komisijas sēdēs lēmumi tiek pieņemti, ievērojot interešu konflikta novēršanas, caurspīdīguma un vienlīdzības principu, kā arī novēršot un labojot dubultā finansējuma iestāšanās, krāpšanas un korupcijas risku;</w:t>
            </w:r>
          </w:p>
          <w:p w14:paraId="1066131F" w14:textId="17BC6FEF"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 xml:space="preserve">ka sēdes laikā netika konstatēts iespējamais interešu konflikta, krāpšanas, korupcijas un dubultā finansējuma gadījums un ka finansējums pētniecības projektiem plānots noteikto mērķu un </w:t>
            </w:r>
            <w:r w:rsidRPr="001B4029">
              <w:rPr>
                <w:rFonts w:cs="Times New Roman"/>
                <w:b w:val="0"/>
                <w:sz w:val="24"/>
                <w:szCs w:val="24"/>
                <w:lang w:val="lv-LV"/>
              </w:rPr>
              <w:lastRenderedPageBreak/>
              <w:t>aktivitāšu īstenošanai, un pētniecības projektu vērtēšanas komisijas sēdes protokolā ar parakstu apstiprina šajā apakšpunktā minēto nosacījumu ievērošanu;</w:t>
            </w:r>
          </w:p>
          <w:p w14:paraId="6D615F71" w14:textId="5B0515CF"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ka pētniecības projektā ir norādīta un analizēta veicamo vai jau veikto investīciju lietderība un pamatotība, kā arī komercializācijas potenciāls;</w:t>
            </w:r>
          </w:p>
          <w:p w14:paraId="08C83ED0" w14:textId="15377762"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ka ir norādīta pētniecības projekta atbilstība finansējuma saņēmēja izstrādātajam projekta darbības plānam;</w:t>
            </w:r>
          </w:p>
          <w:p w14:paraId="609699C4" w14:textId="5F5F032E"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ka sadarbības partneris neveic vai nav veicis tādu pašu pētniecības projektu šīs investīcijas ietvaros vai citās komercdarbības atbalsta programmās Eiropas Savienības struktūrfondu un Kohēzijas fonda 2014.–2020. gada plānošanas perioda, Atveseļošanas fonda finansēto pasākumu vai Eiropas Savienības kohēzijas politikas programmas 2021.–2027. gadam ietvaros, lai nodrošinātu, ka visi finansējuma saņēmēju atbalstītie pētniecības projekti savstarpēji nepārklājas;</w:t>
            </w:r>
          </w:p>
          <w:p w14:paraId="4B0AAC9E" w14:textId="70E702A9"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ka sadarbības partneri demonstrē izpratni un vīziju par zināšanu potenciālo pielietošanas veidu un ietekmi un ka demonstrētais apjoms, ietekme un ieguvumi pārsniedz paredzamās pētniecības projekta izmaksas;</w:t>
            </w:r>
          </w:p>
          <w:p w14:paraId="022F9EF1" w14:textId="2FE3F7D0"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ka pētniecības projektā ir norādīti pētniecības projekta starpposmi, pēc kuru pabeigšanas tiek pārvērtēta pētniecības projekta turpināšanas lietderība;</w:t>
            </w:r>
          </w:p>
          <w:p w14:paraId="7C06D725" w14:textId="344C0022"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ka pētniecības projektā ir paredzēta un ir pārbaudāma reāla sadarbības partnera finansiālā līdzdalība pētniecības projekta finansējuma intensitātei atbilstošajā apjomā;</w:t>
            </w:r>
          </w:p>
          <w:p w14:paraId="3C8DC883" w14:textId="2E841486" w:rsidR="00E72C5A" w:rsidRPr="001B4029" w:rsidRDefault="00E72C5A" w:rsidP="007048A0">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vai sadarbības partneris un finansējuma saņēmējs ir izvērtējuši, ja paredzēts, pētniecības projekta starpposma rezultātus un vai vērtējumi par pētniecības projekta turpināšanu vai pārtraukšanu ir dokumentēti un pamatoti ar faktiem;</w:t>
            </w:r>
          </w:p>
          <w:p w14:paraId="00DB9E42" w14:textId="77777777" w:rsidR="00E72C5A" w:rsidRPr="001B4029" w:rsidRDefault="00E72C5A" w:rsidP="00E72C5A">
            <w:pPr>
              <w:pStyle w:val="Sarakstarindkopa"/>
              <w:numPr>
                <w:ilvl w:val="0"/>
                <w:numId w:val="5"/>
              </w:numPr>
              <w:jc w:val="both"/>
              <w:rPr>
                <w:rFonts w:cs="Times New Roman"/>
                <w:sz w:val="24"/>
                <w:szCs w:val="24"/>
                <w:lang w:val="lv-LV"/>
              </w:rPr>
            </w:pPr>
            <w:r w:rsidRPr="001B4029">
              <w:rPr>
                <w:rFonts w:cs="Times New Roman"/>
                <w:b w:val="0"/>
                <w:sz w:val="24"/>
                <w:szCs w:val="24"/>
                <w:lang w:val="lv-LV"/>
              </w:rPr>
              <w:t>ka pētniecības projekta ietvaros starpposma progresa pārskatos iekļautie izdevumi ir saistīti ar pētniecības projekta rezultātu sasniegšanu un ka šī saistība ir skaidri saprotama un pamatota no sadarbības partnera puses, ievērojot saimnieciskuma, lietderības un efektivitātes principu.</w:t>
            </w:r>
          </w:p>
          <w:p w14:paraId="5B38E3A5" w14:textId="77777777" w:rsidR="007C1E99" w:rsidRPr="001B4029" w:rsidRDefault="007C1E99" w:rsidP="007C1E99">
            <w:pPr>
              <w:jc w:val="both"/>
              <w:rPr>
                <w:rFonts w:cs="Times New Roman"/>
                <w:sz w:val="24"/>
                <w:szCs w:val="24"/>
                <w:lang w:val="lv-LV"/>
              </w:rPr>
            </w:pPr>
          </w:p>
          <w:p w14:paraId="2815C16F" w14:textId="7619E1A5" w:rsidR="007C1E99" w:rsidRPr="001B4029" w:rsidRDefault="007C1E99" w:rsidP="007C1E99">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Nozares ministrijas pārstāvim pētniecības projektu vērtēšanas komisijā ir balsstiesības, un tas balso par pētniecības projekta starpposma izvērtējumu, bet nevērtē pētniecības projekta zinātnisko sadaļu un neaizpilda individuālo pētniecības projekta vērtēšanas lapu.</w:t>
            </w:r>
          </w:p>
          <w:p w14:paraId="65AA8EE5" w14:textId="77777777" w:rsidR="007C1E99" w:rsidRPr="001B4029" w:rsidRDefault="007C1E99" w:rsidP="007C1E99">
            <w:pPr>
              <w:jc w:val="both"/>
              <w:rPr>
                <w:rFonts w:ascii="Times New Roman" w:hAnsi="Times New Roman" w:cs="Times New Roman"/>
                <w:sz w:val="24"/>
                <w:szCs w:val="24"/>
                <w:lang w:val="lv-LV"/>
              </w:rPr>
            </w:pPr>
          </w:p>
          <w:p w14:paraId="5AD4E9EF" w14:textId="77777777" w:rsidR="007C1E99" w:rsidRPr="001B4029" w:rsidRDefault="007C1E99" w:rsidP="007C1E99">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Pētniecības projektu vērtēšanas komisijā balsstiesības ir nozares komersantam, pētniecības un zināšanu izplatīšanas organizācijas pārstāvim un nozares ministrijas pārstāvim. Pārējo pētniecības projektu vērtēšanas komisijas locekļu ierosinājumiem ir ieteikuma </w:t>
            </w:r>
            <w:r w:rsidRPr="001B4029">
              <w:rPr>
                <w:rFonts w:ascii="Times New Roman" w:hAnsi="Times New Roman" w:cs="Times New Roman"/>
                <w:sz w:val="24"/>
                <w:szCs w:val="24"/>
                <w:lang w:val="lv-LV"/>
              </w:rPr>
              <w:lastRenderedPageBreak/>
              <w:t>raksturs. Kompetences centrs var papildus piešķirt balsstiesības arī citiem nepieciešamības gadījumā piesaistītajiem minētajiem pētniecības projektu vērtēšanas komisijas dalībniekiem:</w:t>
            </w:r>
          </w:p>
          <w:p w14:paraId="351F49E5" w14:textId="79307A4E" w:rsidR="007C1E99" w:rsidRPr="001B4029" w:rsidRDefault="007C1E99" w:rsidP="007C1E99">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pētniecības un zināšanu izplatīšanas organizāciju pārstāvjiem, kuri ieguvuši maģistra vai zinātņu doktora grādu attiecīgajā nozarē;</w:t>
            </w:r>
          </w:p>
          <w:p w14:paraId="0C62A864" w14:textId="53D0F713" w:rsidR="007C1E99" w:rsidRPr="001B4029" w:rsidRDefault="007C1E99" w:rsidP="007C1E99">
            <w:pPr>
              <w:pStyle w:val="Sarakstarindkopa"/>
              <w:numPr>
                <w:ilvl w:val="0"/>
                <w:numId w:val="5"/>
              </w:numPr>
              <w:jc w:val="both"/>
              <w:rPr>
                <w:rFonts w:cs="Times New Roman"/>
                <w:b w:val="0"/>
                <w:sz w:val="24"/>
                <w:szCs w:val="24"/>
                <w:lang w:val="lv-LV"/>
              </w:rPr>
            </w:pPr>
            <w:r w:rsidRPr="001B4029">
              <w:rPr>
                <w:rFonts w:cs="Times New Roman"/>
                <w:b w:val="0"/>
                <w:sz w:val="24"/>
                <w:szCs w:val="24"/>
                <w:lang w:val="lv-LV"/>
              </w:rPr>
              <w:t>citu nozaru kompetences centru, sadarbības tīklu, asociāciju vai citu organizāciju pārstāvjiem;</w:t>
            </w:r>
          </w:p>
          <w:p w14:paraId="3FE2C1C5" w14:textId="12A36DBF" w:rsidR="007C1E99" w:rsidRPr="001B4029" w:rsidRDefault="007C1E99" w:rsidP="007C1E99">
            <w:pPr>
              <w:pStyle w:val="Sarakstarindkopa"/>
              <w:numPr>
                <w:ilvl w:val="0"/>
                <w:numId w:val="5"/>
              </w:numPr>
              <w:jc w:val="both"/>
              <w:rPr>
                <w:rFonts w:cs="Times New Roman"/>
                <w:sz w:val="24"/>
                <w:szCs w:val="24"/>
                <w:lang w:val="lv-LV"/>
              </w:rPr>
            </w:pPr>
            <w:r w:rsidRPr="001B4029">
              <w:rPr>
                <w:rFonts w:cs="Times New Roman"/>
                <w:b w:val="0"/>
                <w:sz w:val="24"/>
                <w:szCs w:val="24"/>
                <w:lang w:val="lv-LV"/>
              </w:rPr>
              <w:t>zinātniskā virziena vadītājiem.</w:t>
            </w:r>
          </w:p>
          <w:p w14:paraId="4922DF46" w14:textId="12B23CD8" w:rsidR="007C1E99" w:rsidRPr="001B4029" w:rsidRDefault="007C1E99" w:rsidP="007C1E99">
            <w:pPr>
              <w:jc w:val="both"/>
              <w:rPr>
                <w:rFonts w:cs="Times New Roman"/>
                <w:sz w:val="24"/>
                <w:szCs w:val="24"/>
                <w:lang w:val="lv-LV"/>
              </w:rPr>
            </w:pPr>
          </w:p>
        </w:tc>
      </w:tr>
      <w:tr w:rsidR="007F29D1" w:rsidRPr="001B4029" w14:paraId="6024F9DC" w14:textId="77777777" w:rsidTr="009C04DD">
        <w:trPr>
          <w:trHeight w:val="235"/>
        </w:trPr>
        <w:tc>
          <w:tcPr>
            <w:tcW w:w="2252" w:type="dxa"/>
            <w:shd w:val="clear" w:color="auto" w:fill="F2F2F2" w:themeFill="background1" w:themeFillShade="F2"/>
          </w:tcPr>
          <w:p w14:paraId="5BC94A00" w14:textId="51B1DF6B" w:rsidR="00747B2D" w:rsidRPr="001B4029" w:rsidRDefault="00747B2D"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lastRenderedPageBreak/>
              <w:t>Darbības kārtības apraksts</w:t>
            </w:r>
          </w:p>
          <w:p w14:paraId="5D22783A" w14:textId="3369F4A8"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6C5DA8E3" w14:textId="5C0385AD" w:rsidR="007C1E99" w:rsidRPr="00D16B4B" w:rsidRDefault="007C1E99" w:rsidP="00D16B4B">
            <w:pPr>
              <w:jc w:val="both"/>
              <w:rPr>
                <w:rFonts w:ascii="Times New Roman" w:hAnsi="Times New Roman" w:cs="Times New Roman"/>
                <w:sz w:val="24"/>
                <w:szCs w:val="24"/>
                <w:lang w:val="lv-LV"/>
              </w:rPr>
            </w:pPr>
            <w:r w:rsidRPr="00D16B4B">
              <w:rPr>
                <w:rFonts w:ascii="Times New Roman" w:hAnsi="Times New Roman" w:cs="Times New Roman"/>
                <w:sz w:val="24"/>
                <w:szCs w:val="24"/>
                <w:lang w:val="lv-LV"/>
              </w:rPr>
              <w:t xml:space="preserve">Pētniecības projektu vērtēšanas </w:t>
            </w:r>
            <w:r w:rsidR="00857B1D" w:rsidRPr="00D16B4B">
              <w:rPr>
                <w:rFonts w:ascii="Times New Roman" w:hAnsi="Times New Roman" w:cs="Times New Roman"/>
                <w:sz w:val="24"/>
                <w:szCs w:val="24"/>
                <w:lang w:val="lv-LV"/>
              </w:rPr>
              <w:t>K</w:t>
            </w:r>
            <w:r w:rsidRPr="00D16B4B">
              <w:rPr>
                <w:rFonts w:ascii="Times New Roman" w:hAnsi="Times New Roman" w:cs="Times New Roman"/>
                <w:sz w:val="24"/>
                <w:szCs w:val="24"/>
                <w:lang w:val="lv-LV"/>
              </w:rPr>
              <w:t xml:space="preserve">omisijas sēdes sasauc Kompetences centra vadītājs. Kompetences centra projekta īstenošanas laikā </w:t>
            </w:r>
            <w:r w:rsidR="00857B1D" w:rsidRPr="00D16B4B">
              <w:rPr>
                <w:rFonts w:ascii="Times New Roman" w:hAnsi="Times New Roman" w:cs="Times New Roman"/>
                <w:sz w:val="24"/>
                <w:szCs w:val="24"/>
                <w:lang w:val="lv-LV"/>
              </w:rPr>
              <w:t>K</w:t>
            </w:r>
            <w:r w:rsidRPr="00D16B4B">
              <w:rPr>
                <w:rFonts w:ascii="Times New Roman" w:hAnsi="Times New Roman" w:cs="Times New Roman"/>
                <w:sz w:val="24"/>
                <w:szCs w:val="24"/>
                <w:lang w:val="lv-LV"/>
              </w:rPr>
              <w:t xml:space="preserve">omisijas sēdes tiek plānotas vidēji vienu reizi trijos mēnešos, iespējams, biežāk līdz pat reizei mēnesī. Izskatāmo jautājumu loks saistīts ar pētniecības projektu starprezultātu izvērtēšanu, to norises gaitas novērtēšanu, ierosināto grozījumu izskatīšanu un apstiprināšanu, retāk – jaunu pētniecības projektu izskatīšanu. Gadījumā, ja </w:t>
            </w:r>
            <w:r w:rsidR="00D16B4B" w:rsidRPr="00D16B4B">
              <w:rPr>
                <w:rFonts w:ascii="Times New Roman" w:hAnsi="Times New Roman" w:cs="Times New Roman"/>
                <w:sz w:val="24"/>
                <w:szCs w:val="24"/>
                <w:lang w:val="lv-LV"/>
              </w:rPr>
              <w:t xml:space="preserve">komisijas </w:t>
            </w:r>
            <w:r w:rsidRPr="00D16B4B">
              <w:rPr>
                <w:rFonts w:ascii="Times New Roman" w:hAnsi="Times New Roman" w:cs="Times New Roman"/>
                <w:sz w:val="24"/>
                <w:szCs w:val="24"/>
                <w:lang w:val="lv-LV"/>
              </w:rPr>
              <w:t xml:space="preserve">locekļi nevar piedalīties plānotajā padomes sēdē, par to tiek informēts Kompetences centra vadītājs, kurš var ierosināt pārcelt sēdi, ja </w:t>
            </w:r>
            <w:r w:rsidR="00D16B4B" w:rsidRPr="00D16B4B">
              <w:rPr>
                <w:rFonts w:ascii="Times New Roman" w:hAnsi="Times New Roman" w:cs="Times New Roman"/>
                <w:sz w:val="24"/>
                <w:szCs w:val="24"/>
                <w:lang w:val="lv-LV"/>
              </w:rPr>
              <w:t xml:space="preserve">komisijas </w:t>
            </w:r>
            <w:r w:rsidRPr="00D16B4B">
              <w:rPr>
                <w:rFonts w:ascii="Times New Roman" w:hAnsi="Times New Roman" w:cs="Times New Roman"/>
                <w:sz w:val="24"/>
                <w:szCs w:val="24"/>
                <w:lang w:val="lv-LV"/>
              </w:rPr>
              <w:t xml:space="preserve">sēdē nebūtu pārstāvēts neviens komersantu pārstāvis vai Ekonomikas ministrijas pārstāvis, kā arī gadījumā, ja sēdē nevar piedalīties kāds no </w:t>
            </w:r>
            <w:r w:rsidR="00D16B4B" w:rsidRPr="00D16B4B">
              <w:rPr>
                <w:rFonts w:ascii="Times New Roman" w:hAnsi="Times New Roman" w:cs="Times New Roman"/>
                <w:sz w:val="24"/>
                <w:szCs w:val="24"/>
                <w:lang w:val="lv-LV"/>
              </w:rPr>
              <w:t xml:space="preserve">komisijas </w:t>
            </w:r>
            <w:r w:rsidRPr="00D16B4B">
              <w:rPr>
                <w:rFonts w:ascii="Times New Roman" w:hAnsi="Times New Roman" w:cs="Times New Roman"/>
                <w:sz w:val="24"/>
                <w:szCs w:val="24"/>
                <w:lang w:val="lv-LV"/>
              </w:rPr>
              <w:t>locekļiem, kuru lēmums ir būtiski nepieciešams.</w:t>
            </w:r>
          </w:p>
        </w:tc>
      </w:tr>
      <w:tr w:rsidR="007F29D1" w:rsidRPr="001B4029" w14:paraId="58D0EB94" w14:textId="77777777" w:rsidTr="009C04DD">
        <w:trPr>
          <w:trHeight w:val="235"/>
        </w:trPr>
        <w:tc>
          <w:tcPr>
            <w:tcW w:w="2252" w:type="dxa"/>
            <w:shd w:val="clear" w:color="auto" w:fill="F2F2F2" w:themeFill="background1" w:themeFillShade="F2"/>
          </w:tcPr>
          <w:p w14:paraId="3DC5CA38" w14:textId="77777777" w:rsidR="00747B2D" w:rsidRPr="001B4029" w:rsidRDefault="00747B2D"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Atbilstības noteikumiem pamatojums</w:t>
            </w:r>
          </w:p>
          <w:p w14:paraId="7ABA0AAC" w14:textId="1AF7BF16"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05924E42" w14:textId="07D76567" w:rsidR="00747B2D" w:rsidRPr="001B4029" w:rsidRDefault="007048A0" w:rsidP="007048A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Pētniecības projektu vērtēšanas komisijas darbība, tās sastāvs un loma plānota saskaņā ar 2024. gada 9. janvāra Ministru kabineta noteikumu Nr. 32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 prasībām. </w:t>
            </w:r>
          </w:p>
        </w:tc>
      </w:tr>
      <w:tr w:rsidR="007F29D1" w:rsidRPr="001B4029" w14:paraId="79D949AF" w14:textId="77777777" w:rsidTr="009C04DD">
        <w:trPr>
          <w:trHeight w:val="235"/>
        </w:trPr>
        <w:tc>
          <w:tcPr>
            <w:tcW w:w="2252" w:type="dxa"/>
            <w:shd w:val="clear" w:color="auto" w:fill="F2F2F2" w:themeFill="background1" w:themeFillShade="F2"/>
          </w:tcPr>
          <w:p w14:paraId="573EA7CB" w14:textId="77777777" w:rsidR="00747B2D" w:rsidRPr="001B4029" w:rsidRDefault="00747B2D" w:rsidP="00747B2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Ekspertu piesaistes apraksts</w:t>
            </w:r>
          </w:p>
          <w:p w14:paraId="000A7158" w14:textId="513A570F" w:rsidR="007B4D32" w:rsidRPr="001B4029" w:rsidRDefault="007B4D32" w:rsidP="00747B2D">
            <w:pPr>
              <w:jc w:val="both"/>
              <w:rPr>
                <w:rFonts w:ascii="Times New Roman" w:hAnsi="Times New Roman" w:cs="Times New Roman"/>
                <w:sz w:val="24"/>
                <w:szCs w:val="24"/>
                <w:lang w:val="lv-LV"/>
              </w:rPr>
            </w:pPr>
          </w:p>
        </w:tc>
        <w:tc>
          <w:tcPr>
            <w:tcW w:w="7098" w:type="dxa"/>
            <w:gridSpan w:val="3"/>
          </w:tcPr>
          <w:p w14:paraId="2AA718AE" w14:textId="77777777" w:rsidR="00E015D7" w:rsidRPr="001B4029" w:rsidRDefault="007048A0" w:rsidP="007048A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Pēc nozares ministrijas priekšlikuma pētniecības projektu vērtēšanā iesaista starptautiskos vai vietējos ekspertus. </w:t>
            </w:r>
          </w:p>
          <w:p w14:paraId="0189F28E" w14:textId="77777777" w:rsidR="00E015D7" w:rsidRPr="001B4029" w:rsidRDefault="00E015D7" w:rsidP="007048A0">
            <w:pPr>
              <w:jc w:val="both"/>
              <w:rPr>
                <w:rFonts w:ascii="Times New Roman" w:hAnsi="Times New Roman" w:cs="Times New Roman"/>
                <w:sz w:val="24"/>
                <w:szCs w:val="24"/>
                <w:lang w:val="lv-LV"/>
              </w:rPr>
            </w:pPr>
          </w:p>
          <w:p w14:paraId="124452BD" w14:textId="7F75DECF" w:rsidR="00E015D7" w:rsidRPr="001B4029" w:rsidRDefault="007048A0" w:rsidP="007048A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Par eksperta iesaisti pētniecības projekta vērtēšanā lemj </w:t>
            </w:r>
            <w:r w:rsidR="00E015D7" w:rsidRPr="001B4029">
              <w:rPr>
                <w:rFonts w:ascii="Times New Roman" w:hAnsi="Times New Roman" w:cs="Times New Roman"/>
                <w:sz w:val="24"/>
                <w:szCs w:val="24"/>
                <w:lang w:val="lv-LV"/>
              </w:rPr>
              <w:t>Kompetences centrs un Kompetences centram ir pienākums, ja nepieciešams, pirms pētniecības projekta gala noslēguma pārskata iesniegšanas aģentūrā iesaistīt ārējos ekspertus, lai gūtu pārliecību, ka veiktie ieguldījumi ir bijuši lietderīgi un pamatoti pētniecības projekta rezultātu sasniegšanā. Tāpat pētniecības projektu vērtēšanas komisijas viens no uzdevumiem ir ieteikt Kompetences centram iesaistīt ārējo ekspertu pētniecības projektu un gala noslēguma pārskatu vērtēšanā, ja nepieciešams.</w:t>
            </w:r>
          </w:p>
          <w:p w14:paraId="054B090E" w14:textId="77777777" w:rsidR="00E015D7" w:rsidRPr="001B4029" w:rsidRDefault="00E015D7" w:rsidP="007048A0">
            <w:pPr>
              <w:jc w:val="both"/>
              <w:rPr>
                <w:rFonts w:ascii="Times New Roman" w:hAnsi="Times New Roman" w:cs="Times New Roman"/>
                <w:sz w:val="24"/>
                <w:szCs w:val="24"/>
                <w:lang w:val="lv-LV"/>
              </w:rPr>
            </w:pPr>
          </w:p>
          <w:p w14:paraId="1116C97B" w14:textId="6226CB1D" w:rsidR="00747B2D" w:rsidRPr="001B4029" w:rsidRDefault="007048A0" w:rsidP="007048A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Eksperta vērtējumu pievieno pētniecības projektu vērtēšanas komisijas veiktajiem vērtējumiem, </w:t>
            </w:r>
            <w:r w:rsidR="00E015D7" w:rsidRPr="001B4029">
              <w:rPr>
                <w:rFonts w:ascii="Times New Roman" w:hAnsi="Times New Roman" w:cs="Times New Roman"/>
                <w:sz w:val="24"/>
                <w:szCs w:val="24"/>
                <w:lang w:val="lv-LV"/>
              </w:rPr>
              <w:t xml:space="preserve">Kompetences centrs </w:t>
            </w:r>
            <w:r w:rsidRPr="001B4029">
              <w:rPr>
                <w:rFonts w:ascii="Times New Roman" w:hAnsi="Times New Roman" w:cs="Times New Roman"/>
                <w:sz w:val="24"/>
                <w:szCs w:val="24"/>
                <w:lang w:val="lv-LV"/>
              </w:rPr>
              <w:t xml:space="preserve">pētniecības projekta vērtējumus iesniedz aģentūrā, un aģentūra pieņem lēmumu par </w:t>
            </w:r>
            <w:r w:rsidRPr="001B4029">
              <w:rPr>
                <w:rFonts w:ascii="Times New Roman" w:hAnsi="Times New Roman" w:cs="Times New Roman"/>
                <w:sz w:val="24"/>
                <w:szCs w:val="24"/>
                <w:lang w:val="lv-LV"/>
              </w:rPr>
              <w:lastRenderedPageBreak/>
              <w:t>komercdarbības atbalsta piešķiršanu. Ja nozares ministrijas pārstāvis pētniecības projektu vērtēšanas komisijas veiktā vērtēšanas procesa ietvaros konstatē, ka pētniecības projekta iesnieguma, starpposma vai gala noslēguma pārskata vērtēšanas process nav pietiekami pamatots, un pētniecības projektu vērtēšanas komisija noraida neatkarīga eksperta pieaicināšanu, nozares ministrijas pārstāvis neparaksta protokolu un atbalstīto pētniecības projektu saraksts netiek virzīts uz aģentūru.</w:t>
            </w:r>
          </w:p>
          <w:p w14:paraId="54217FF1" w14:textId="77777777" w:rsidR="007048A0" w:rsidRPr="001B4029" w:rsidRDefault="007048A0" w:rsidP="007048A0">
            <w:pPr>
              <w:jc w:val="both"/>
              <w:rPr>
                <w:rFonts w:ascii="Times New Roman" w:hAnsi="Times New Roman" w:cs="Times New Roman"/>
                <w:sz w:val="24"/>
                <w:szCs w:val="24"/>
                <w:lang w:val="lv-LV"/>
              </w:rPr>
            </w:pPr>
          </w:p>
          <w:p w14:paraId="75A8EF7A" w14:textId="77777777" w:rsidR="007048A0" w:rsidRPr="001B4029" w:rsidRDefault="007048A0" w:rsidP="007048A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Pētniecības projektu vērtēšanas komisija, projekta rezultātu sasniegšanā konstatējot riskus, kas saistīti ar neieguldīto finansējumu vai neīstenotām plānotajām aktivitātēm, izvērtē nepieciešamību un iesaka finansējuma saņēmējiem ārējo ekspertu iesaisti, lai pirms pētniecības projektu noslēguma maksājuma veikšanas izvērtētu pētniecības projektu rezultātus un pārliecinātos, ka veiktie ieguldījumi ir bijuši lietderīgi un pamatoti. Ekspertu vērtējuma kopiju nosūta arī aģentūrai. Ja ekspertu vērtējums ir negatīvs vai satur ieteikumus, ekspertu sagatavoto atzinumu nosūta sadarbības partnerim. Sadarbības partneris piecu darbdienu laikā pēc finansējuma saņēmēja rakstiskā pieprasījuma saņemšanas sagatavo un iesniedz finansējuma saņēmējam skaidrojumu par atzinumā norādītajām neatbilstībām. Ja skaidrojums nav saņemts piecu darbdienu laikā vai pēc iepazīšanās ar skaidrojumu atkārtotais eksperta vērtējums ir negatīvs, aģentūra finansējuma saņēmējam lūdz atmaksāt visu pētniecības projektā ieguldīto publiskā finansējuma summu.</w:t>
            </w:r>
          </w:p>
          <w:p w14:paraId="6CF82376" w14:textId="77777777" w:rsidR="00E015D7" w:rsidRPr="001B4029" w:rsidRDefault="00E015D7" w:rsidP="007048A0">
            <w:pPr>
              <w:jc w:val="both"/>
              <w:rPr>
                <w:rFonts w:ascii="Times New Roman" w:hAnsi="Times New Roman" w:cs="Times New Roman"/>
                <w:sz w:val="24"/>
                <w:szCs w:val="24"/>
                <w:lang w:val="lv-LV"/>
              </w:rPr>
            </w:pPr>
          </w:p>
          <w:p w14:paraId="61EA700B" w14:textId="067567B9" w:rsidR="00E015D7" w:rsidRPr="001B4029" w:rsidRDefault="00E015D7" w:rsidP="007048A0">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Eksperti pirms pētniecības projektu vērtēšanas komisijas sēdes un starpposma un gala nodevumu vērtēšanas paraksta objektivitātes, konfidencialitātes un interešu konflikta neesības apliecinājumu, ja nepieciešams, novēršot vai labojot identificētos riskus vai konstatēto interešu konfliktu.</w:t>
            </w:r>
          </w:p>
        </w:tc>
      </w:tr>
      <w:tr w:rsidR="00747B2D" w:rsidRPr="001B4029" w14:paraId="5D574F4B" w14:textId="77777777" w:rsidTr="003F48B2">
        <w:tc>
          <w:tcPr>
            <w:tcW w:w="9350" w:type="dxa"/>
            <w:gridSpan w:val="4"/>
            <w:shd w:val="clear" w:color="auto" w:fill="D9D9D9" w:themeFill="background1" w:themeFillShade="D9"/>
          </w:tcPr>
          <w:p w14:paraId="144AE345" w14:textId="77777777" w:rsidR="00747B2D" w:rsidRPr="001B4029" w:rsidRDefault="00747B2D" w:rsidP="00B37CC1">
            <w:pPr>
              <w:pStyle w:val="Sarakstarindkopa"/>
              <w:numPr>
                <w:ilvl w:val="0"/>
                <w:numId w:val="4"/>
              </w:numPr>
              <w:ind w:left="451"/>
              <w:jc w:val="both"/>
              <w:rPr>
                <w:rFonts w:cs="Times New Roman"/>
                <w:sz w:val="24"/>
                <w:szCs w:val="24"/>
                <w:lang w:val="lv-LV"/>
              </w:rPr>
            </w:pPr>
            <w:r w:rsidRPr="001B4029">
              <w:rPr>
                <w:rFonts w:cs="Times New Roman"/>
                <w:sz w:val="24"/>
                <w:szCs w:val="24"/>
                <w:lang w:val="lv-LV"/>
              </w:rPr>
              <w:lastRenderedPageBreak/>
              <w:t xml:space="preserve">Plānotā viedās specializācijas ilgtermiņa stratēģijas joma </w:t>
            </w:r>
          </w:p>
          <w:p w14:paraId="2A0001F1" w14:textId="3BCA1B5C" w:rsidR="00747B2D" w:rsidRPr="001B4029" w:rsidRDefault="00747B2D" w:rsidP="00747B2D">
            <w:pPr>
              <w:jc w:val="both"/>
              <w:rPr>
                <w:rFonts w:ascii="Times New Roman" w:hAnsi="Times New Roman" w:cs="Times New Roman"/>
                <w:sz w:val="24"/>
                <w:szCs w:val="24"/>
                <w:lang w:val="lv-LV"/>
              </w:rPr>
            </w:pPr>
            <w:r w:rsidRPr="001B4029">
              <w:rPr>
                <w:rFonts w:ascii="Times New Roman" w:hAnsi="Times New Roman" w:cs="Times New Roman"/>
                <w:bCs/>
                <w:i/>
                <w:iCs/>
                <w:sz w:val="24"/>
                <w:szCs w:val="24"/>
                <w:lang w:val="lv-LV"/>
              </w:rPr>
              <w:t xml:space="preserve">(apraksta izvēlēto viedās specializācijas ilgtermiņa stratēģijas jomu un tās </w:t>
            </w:r>
            <w:proofErr w:type="spellStart"/>
            <w:r w:rsidRPr="001B4029">
              <w:rPr>
                <w:rFonts w:ascii="Times New Roman" w:hAnsi="Times New Roman" w:cs="Times New Roman"/>
                <w:bCs/>
                <w:i/>
                <w:iCs/>
                <w:sz w:val="24"/>
                <w:szCs w:val="24"/>
                <w:lang w:val="lv-LV"/>
              </w:rPr>
              <w:t>apakšjomas</w:t>
            </w:r>
            <w:proofErr w:type="spellEnd"/>
            <w:r w:rsidRPr="001B4029">
              <w:rPr>
                <w:rFonts w:ascii="Times New Roman" w:hAnsi="Times New Roman" w:cs="Times New Roman"/>
                <w:bCs/>
                <w:i/>
                <w:iCs/>
                <w:sz w:val="24"/>
                <w:szCs w:val="24"/>
                <w:lang w:val="lv-LV"/>
              </w:rPr>
              <w:t>, paredzot īstenot starpnozaru projektus)</w:t>
            </w:r>
          </w:p>
        </w:tc>
      </w:tr>
      <w:tr w:rsidR="00747B2D" w:rsidRPr="001B4029" w14:paraId="1D082349" w14:textId="77777777" w:rsidTr="003F48B2">
        <w:tc>
          <w:tcPr>
            <w:tcW w:w="9350" w:type="dxa"/>
            <w:gridSpan w:val="4"/>
          </w:tcPr>
          <w:p w14:paraId="43F3D55E" w14:textId="77777777" w:rsidR="00747B2D" w:rsidRPr="001B4029" w:rsidRDefault="00747B2D" w:rsidP="00747B2D">
            <w:pPr>
              <w:jc w:val="both"/>
              <w:rPr>
                <w:rFonts w:ascii="Times New Roman" w:hAnsi="Times New Roman" w:cs="Times New Roman"/>
                <w:sz w:val="24"/>
                <w:szCs w:val="24"/>
                <w:lang w:val="lv-LV"/>
              </w:rPr>
            </w:pPr>
          </w:p>
          <w:p w14:paraId="345B74A1" w14:textId="77777777" w:rsidR="007C2005" w:rsidRPr="001B4029" w:rsidRDefault="00374ED4"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w:t>
            </w:r>
            <w:proofErr w:type="spellStart"/>
            <w:r w:rsidRPr="001B4029">
              <w:rPr>
                <w:rFonts w:ascii="Times New Roman" w:hAnsi="Times New Roman" w:cs="Times New Roman"/>
                <w:sz w:val="24"/>
                <w:szCs w:val="24"/>
                <w:lang w:val="lv-LV"/>
              </w:rPr>
              <w:t>Fotonika</w:t>
            </w:r>
            <w:proofErr w:type="spellEnd"/>
            <w:r w:rsidRPr="001B4029">
              <w:rPr>
                <w:rFonts w:ascii="Times New Roman" w:hAnsi="Times New Roman" w:cs="Times New Roman"/>
                <w:sz w:val="24"/>
                <w:szCs w:val="24"/>
                <w:lang w:val="lv-LV"/>
              </w:rPr>
              <w:t xml:space="preserve"> un viedie materiāli, tehnoloģijas un </w:t>
            </w:r>
            <w:proofErr w:type="spellStart"/>
            <w:r w:rsidRPr="001B4029">
              <w:rPr>
                <w:rFonts w:ascii="Times New Roman" w:hAnsi="Times New Roman" w:cs="Times New Roman"/>
                <w:sz w:val="24"/>
                <w:szCs w:val="24"/>
                <w:lang w:val="lv-LV"/>
              </w:rPr>
              <w:t>inženiersistēmas</w:t>
            </w:r>
            <w:proofErr w:type="spellEnd"/>
            <w:r w:rsidRPr="001B4029">
              <w:rPr>
                <w:rFonts w:ascii="Times New Roman" w:hAnsi="Times New Roman" w:cs="Times New Roman"/>
                <w:sz w:val="24"/>
                <w:szCs w:val="24"/>
                <w:lang w:val="lv-LV"/>
              </w:rPr>
              <w:t>” joma ir īpaši nozīmīga Latvijas tautsaimniecības transformācijai uz jaunu un inovatīvu tehnoloģisko risinājumu attīstīšanu un augstas pievienotās vērtības preču un pakalpojumu radīšanu.</w:t>
            </w:r>
            <w:r w:rsidR="007C2005" w:rsidRPr="001B4029">
              <w:rPr>
                <w:rFonts w:ascii="Times New Roman" w:hAnsi="Times New Roman" w:cs="Times New Roman"/>
                <w:sz w:val="24"/>
                <w:szCs w:val="24"/>
                <w:lang w:val="lv-LV"/>
              </w:rPr>
              <w:t xml:space="preserve"> Aktuālās tematiskās nišas projektā izvēlētajai </w:t>
            </w:r>
            <w:proofErr w:type="spellStart"/>
            <w:r w:rsidR="007C2005" w:rsidRPr="001B4029">
              <w:rPr>
                <w:rFonts w:ascii="Times New Roman" w:hAnsi="Times New Roman" w:cs="Times New Roman"/>
                <w:sz w:val="24"/>
                <w:szCs w:val="24"/>
                <w:lang w:val="lv-LV"/>
              </w:rPr>
              <w:t>apakšjomai</w:t>
            </w:r>
            <w:proofErr w:type="spellEnd"/>
            <w:r w:rsidR="007C2005" w:rsidRPr="001B4029">
              <w:rPr>
                <w:rFonts w:ascii="Times New Roman" w:hAnsi="Times New Roman" w:cs="Times New Roman"/>
                <w:sz w:val="24"/>
                <w:szCs w:val="24"/>
                <w:lang w:val="lv-LV"/>
              </w:rPr>
              <w:t xml:space="preserve"> ir</w:t>
            </w:r>
            <w:r w:rsidRPr="001B4029">
              <w:rPr>
                <w:rFonts w:ascii="Times New Roman" w:hAnsi="Times New Roman" w:cs="Times New Roman"/>
                <w:sz w:val="24"/>
                <w:szCs w:val="24"/>
                <w:lang w:val="lv-LV"/>
              </w:rPr>
              <w:t xml:space="preserve"> funkcionālie materiāli, tehnoloģijas, iekārtas, </w:t>
            </w:r>
            <w:proofErr w:type="spellStart"/>
            <w:r w:rsidR="007C2005" w:rsidRPr="001B4029">
              <w:rPr>
                <w:rFonts w:ascii="Times New Roman" w:hAnsi="Times New Roman" w:cs="Times New Roman"/>
                <w:sz w:val="24"/>
                <w:szCs w:val="24"/>
                <w:lang w:val="lv-LV"/>
              </w:rPr>
              <w:t>inženiersistēmas</w:t>
            </w:r>
            <w:proofErr w:type="spellEnd"/>
            <w:r w:rsidR="007C2005" w:rsidRPr="001B4029">
              <w:rPr>
                <w:rFonts w:ascii="Times New Roman" w:hAnsi="Times New Roman" w:cs="Times New Roman"/>
                <w:sz w:val="24"/>
                <w:szCs w:val="24"/>
                <w:lang w:val="lv-LV"/>
              </w:rPr>
              <w:t xml:space="preserve">. </w:t>
            </w:r>
          </w:p>
          <w:p w14:paraId="791F060C" w14:textId="77777777" w:rsidR="00374ED4" w:rsidRPr="001B4029" w:rsidRDefault="00374ED4"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Nozaru asociācijas Latvijā veido sadarbības tīklu formu, kas apvieno konkrētās nozares un attīstībai nepieciešamās ārējās kompetences, kas ir bāze ekosistēmai. Latvijā vēsturiski ir attīstījušās spēcīgas asociācijas, starp kurām ir arī j</w:t>
            </w:r>
            <w:r w:rsidR="007C2005" w:rsidRPr="001B4029">
              <w:rPr>
                <w:rFonts w:ascii="Times New Roman" w:hAnsi="Times New Roman" w:cs="Times New Roman"/>
                <w:sz w:val="24"/>
                <w:szCs w:val="24"/>
                <w:lang w:val="lv-LV"/>
              </w:rPr>
              <w:t xml:space="preserve">omu pārstāvošās organizācijas, tostarp </w:t>
            </w:r>
            <w:r w:rsidRPr="001B4029">
              <w:rPr>
                <w:rFonts w:ascii="Times New Roman" w:hAnsi="Times New Roman" w:cs="Times New Roman"/>
                <w:sz w:val="24"/>
                <w:szCs w:val="24"/>
                <w:lang w:val="lv-LV"/>
              </w:rPr>
              <w:t>Mašīnbūves un metālapstrādes</w:t>
            </w:r>
            <w:r w:rsidR="007C2005" w:rsidRPr="001B4029">
              <w:rPr>
                <w:rFonts w:ascii="Times New Roman" w:hAnsi="Times New Roman" w:cs="Times New Roman"/>
                <w:sz w:val="24"/>
                <w:szCs w:val="24"/>
                <w:lang w:val="lv-LV"/>
              </w:rPr>
              <w:t xml:space="preserve"> rūpniecības asociācija (MASOC), kas ir Kompetences centra dibinātājs un dalībnieks, </w:t>
            </w:r>
            <w:r w:rsidRPr="001B4029">
              <w:rPr>
                <w:rFonts w:ascii="Times New Roman" w:hAnsi="Times New Roman" w:cs="Times New Roman"/>
                <w:sz w:val="24"/>
                <w:szCs w:val="24"/>
                <w:lang w:val="lv-LV"/>
              </w:rPr>
              <w:t xml:space="preserve">veidojot stipro industriālo bāzi inovāciju </w:t>
            </w:r>
            <w:r w:rsidR="007C2005" w:rsidRPr="001B4029">
              <w:rPr>
                <w:rFonts w:ascii="Times New Roman" w:hAnsi="Times New Roman" w:cs="Times New Roman"/>
                <w:sz w:val="24"/>
                <w:szCs w:val="24"/>
                <w:lang w:val="lv-LV"/>
              </w:rPr>
              <w:t xml:space="preserve">attīstībai mašīnbūvē </w:t>
            </w:r>
            <w:r w:rsidRPr="001B4029">
              <w:rPr>
                <w:rFonts w:ascii="Times New Roman" w:hAnsi="Times New Roman" w:cs="Times New Roman"/>
                <w:sz w:val="24"/>
                <w:szCs w:val="24"/>
                <w:lang w:val="lv-LV"/>
              </w:rPr>
              <w:t xml:space="preserve">un citās </w:t>
            </w:r>
            <w:proofErr w:type="spellStart"/>
            <w:r w:rsidRPr="001B4029">
              <w:rPr>
                <w:rFonts w:ascii="Times New Roman" w:hAnsi="Times New Roman" w:cs="Times New Roman"/>
                <w:sz w:val="24"/>
                <w:szCs w:val="24"/>
                <w:lang w:val="lv-LV"/>
              </w:rPr>
              <w:t>inženiersistēmās</w:t>
            </w:r>
            <w:proofErr w:type="spellEnd"/>
            <w:r w:rsidRPr="001B4029">
              <w:rPr>
                <w:rFonts w:ascii="Times New Roman" w:hAnsi="Times New Roman" w:cs="Times New Roman"/>
                <w:sz w:val="24"/>
                <w:szCs w:val="24"/>
                <w:lang w:val="lv-LV"/>
              </w:rPr>
              <w:t xml:space="preserve">. Nozaru asociācijas īsteno projektus kompetences centru, klasteru un apmācību </w:t>
            </w:r>
            <w:r w:rsidRPr="001B4029">
              <w:rPr>
                <w:rFonts w:ascii="Times New Roman" w:hAnsi="Times New Roman" w:cs="Times New Roman"/>
                <w:sz w:val="24"/>
                <w:szCs w:val="24"/>
                <w:lang w:val="lv-LV"/>
              </w:rPr>
              <w:lastRenderedPageBreak/>
              <w:t xml:space="preserve">programmās. Kompetences centri ir uzrādījuši augstus sasniegumus inovāciju veicināšanā uzņēmumu līmenī, kas ir pamats tālākai </w:t>
            </w:r>
            <w:r w:rsidR="007C2005" w:rsidRPr="001B4029">
              <w:rPr>
                <w:rFonts w:ascii="Times New Roman" w:hAnsi="Times New Roman" w:cs="Times New Roman"/>
                <w:sz w:val="24"/>
                <w:szCs w:val="24"/>
                <w:lang w:val="lv-LV"/>
              </w:rPr>
              <w:t>pētniecības un inovāciju</w:t>
            </w:r>
            <w:r w:rsidRPr="001B4029">
              <w:rPr>
                <w:rFonts w:ascii="Times New Roman" w:hAnsi="Times New Roman" w:cs="Times New Roman"/>
                <w:sz w:val="24"/>
                <w:szCs w:val="24"/>
                <w:lang w:val="lv-LV"/>
              </w:rPr>
              <w:t xml:space="preserve"> attīstībai uzņēmumos.</w:t>
            </w:r>
          </w:p>
          <w:p w14:paraId="363803DB" w14:textId="77777777" w:rsidR="007C2005" w:rsidRPr="001B4029" w:rsidRDefault="007C2005" w:rsidP="007C2005">
            <w:pPr>
              <w:jc w:val="both"/>
              <w:rPr>
                <w:rFonts w:ascii="Times New Roman" w:hAnsi="Times New Roman" w:cs="Times New Roman"/>
                <w:sz w:val="24"/>
                <w:szCs w:val="24"/>
                <w:lang w:val="lv-LV"/>
              </w:rPr>
            </w:pPr>
          </w:p>
          <w:p w14:paraId="1EFF0515" w14:textId="77777777"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 xml:space="preserve">Starpnozaru sadarbības ietvaros, ņemot vērā viedās specializācijas </w:t>
            </w:r>
            <w:proofErr w:type="spellStart"/>
            <w:r w:rsidRPr="001B4029">
              <w:rPr>
                <w:rFonts w:ascii="Times New Roman" w:hAnsi="Times New Roman" w:cs="Times New Roman"/>
                <w:sz w:val="24"/>
                <w:szCs w:val="24"/>
                <w:lang w:val="lv-LV"/>
              </w:rPr>
              <w:t>apakšjomas</w:t>
            </w:r>
            <w:proofErr w:type="spellEnd"/>
            <w:r w:rsidRPr="001B4029">
              <w:rPr>
                <w:rFonts w:ascii="Times New Roman" w:hAnsi="Times New Roman" w:cs="Times New Roman"/>
                <w:sz w:val="24"/>
                <w:szCs w:val="24"/>
                <w:lang w:val="lv-LV"/>
              </w:rPr>
              <w:t xml:space="preserve"> “Modernas ražošanas tehnoloģijas un </w:t>
            </w:r>
            <w:proofErr w:type="spellStart"/>
            <w:r w:rsidRPr="001B4029">
              <w:rPr>
                <w:rFonts w:ascii="Times New Roman" w:hAnsi="Times New Roman" w:cs="Times New Roman"/>
                <w:sz w:val="24"/>
                <w:szCs w:val="24"/>
                <w:lang w:val="lv-LV"/>
              </w:rPr>
              <w:t>inženiersistēmas</w:t>
            </w:r>
            <w:proofErr w:type="spellEnd"/>
            <w:r w:rsidRPr="001B4029">
              <w:rPr>
                <w:rFonts w:ascii="Times New Roman" w:hAnsi="Times New Roman" w:cs="Times New Roman"/>
                <w:sz w:val="24"/>
                <w:szCs w:val="24"/>
                <w:lang w:val="lv-LV"/>
              </w:rPr>
              <w:t>” starpdisciplināro raksturu, tiek plānots atbalstīt pētniecības projektus esošo pētniecības un jaunu produktu attīstības virzienu ietvaros:</w:t>
            </w:r>
          </w:p>
          <w:p w14:paraId="3872C7C7" w14:textId="23006FB3" w:rsidR="007C2005" w:rsidRPr="001B4029" w:rsidRDefault="007C2005" w:rsidP="007C2005">
            <w:pPr>
              <w:pStyle w:val="Sarakstarindkopa"/>
              <w:numPr>
                <w:ilvl w:val="0"/>
                <w:numId w:val="9"/>
              </w:numPr>
              <w:jc w:val="both"/>
              <w:rPr>
                <w:rFonts w:cs="Times New Roman"/>
                <w:b w:val="0"/>
                <w:sz w:val="24"/>
                <w:szCs w:val="24"/>
                <w:lang w:val="lv-LV"/>
              </w:rPr>
            </w:pPr>
            <w:r w:rsidRPr="001B4029">
              <w:rPr>
                <w:rFonts w:cs="Times New Roman"/>
                <w:b w:val="0"/>
                <w:sz w:val="24"/>
                <w:szCs w:val="24"/>
                <w:lang w:val="lv-LV"/>
              </w:rPr>
              <w:t xml:space="preserve">Automatizētu </w:t>
            </w:r>
            <w:proofErr w:type="spellStart"/>
            <w:r w:rsidRPr="001B4029">
              <w:rPr>
                <w:rFonts w:cs="Times New Roman"/>
                <w:b w:val="0"/>
                <w:sz w:val="24"/>
                <w:szCs w:val="24"/>
                <w:lang w:val="lv-LV"/>
              </w:rPr>
              <w:t>inženiersistēmu</w:t>
            </w:r>
            <w:proofErr w:type="spellEnd"/>
            <w:r w:rsidRPr="001B4029">
              <w:rPr>
                <w:rFonts w:cs="Times New Roman"/>
                <w:b w:val="0"/>
                <w:sz w:val="24"/>
                <w:szCs w:val="24"/>
                <w:lang w:val="lv-LV"/>
              </w:rPr>
              <w:t xml:space="preserve"> ražošanas tehnoloģijas;</w:t>
            </w:r>
          </w:p>
          <w:p w14:paraId="2666EC45" w14:textId="0A0D5AAA" w:rsidR="007C2005" w:rsidRPr="001B4029" w:rsidRDefault="007C2005" w:rsidP="007C2005">
            <w:pPr>
              <w:pStyle w:val="Sarakstarindkopa"/>
              <w:numPr>
                <w:ilvl w:val="0"/>
                <w:numId w:val="9"/>
              </w:numPr>
              <w:jc w:val="both"/>
              <w:rPr>
                <w:rFonts w:cs="Times New Roman"/>
                <w:b w:val="0"/>
                <w:sz w:val="24"/>
                <w:szCs w:val="24"/>
                <w:lang w:val="lv-LV"/>
              </w:rPr>
            </w:pPr>
            <w:r w:rsidRPr="001B4029">
              <w:rPr>
                <w:rFonts w:cs="Times New Roman"/>
                <w:b w:val="0"/>
                <w:sz w:val="24"/>
                <w:szCs w:val="24"/>
                <w:lang w:val="lv-LV"/>
              </w:rPr>
              <w:t>Materiālu ražošanas tehnoloģijas;</w:t>
            </w:r>
          </w:p>
          <w:p w14:paraId="5582D7C6" w14:textId="64FEEE14" w:rsidR="007C2005" w:rsidRPr="001B4029" w:rsidRDefault="007C2005" w:rsidP="007C2005">
            <w:pPr>
              <w:pStyle w:val="Sarakstarindkopa"/>
              <w:numPr>
                <w:ilvl w:val="0"/>
                <w:numId w:val="9"/>
              </w:numPr>
              <w:jc w:val="both"/>
              <w:rPr>
                <w:rFonts w:cs="Times New Roman"/>
                <w:b w:val="0"/>
                <w:sz w:val="24"/>
                <w:szCs w:val="24"/>
                <w:lang w:val="lv-LV"/>
              </w:rPr>
            </w:pPr>
            <w:r w:rsidRPr="001B4029">
              <w:rPr>
                <w:rFonts w:cs="Times New Roman"/>
                <w:b w:val="0"/>
                <w:sz w:val="24"/>
                <w:szCs w:val="24"/>
                <w:lang w:val="lv-LV"/>
              </w:rPr>
              <w:t>Transporta tehnoloģijas.</w:t>
            </w:r>
          </w:p>
          <w:p w14:paraId="179CB66D" w14:textId="53FFD3D4"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Kā iespējamie sadarbības partneri saskaņā ar iepriekšējos plānošanas periodos realizēto pētniecības programmu identificēti komersanti, kuru saimnieciskās darbības statistiskās klasifikācijas kodi iespējami šādās un citās nozarēs:</w:t>
            </w:r>
          </w:p>
          <w:p w14:paraId="720F31DC" w14:textId="77777777"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10</w:t>
            </w:r>
            <w:r w:rsidRPr="001B4029">
              <w:rPr>
                <w:rFonts w:ascii="Times New Roman" w:hAnsi="Times New Roman" w:cs="Times New Roman"/>
                <w:sz w:val="24"/>
                <w:szCs w:val="24"/>
                <w:lang w:val="lv-LV"/>
              </w:rPr>
              <w:tab/>
              <w:t>Pārtikas produktu ražošana;</w:t>
            </w:r>
          </w:p>
          <w:p w14:paraId="4BF8C2F3" w14:textId="77777777"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26</w:t>
            </w:r>
            <w:r w:rsidRPr="001B4029">
              <w:rPr>
                <w:rFonts w:ascii="Times New Roman" w:hAnsi="Times New Roman" w:cs="Times New Roman"/>
                <w:sz w:val="24"/>
                <w:szCs w:val="24"/>
                <w:lang w:val="lv-LV"/>
              </w:rPr>
              <w:tab/>
              <w:t>Datoru, elektronisko un optisko iekārtu ražošana;</w:t>
            </w:r>
          </w:p>
          <w:p w14:paraId="215BD233" w14:textId="77777777"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62</w:t>
            </w:r>
            <w:r w:rsidRPr="001B4029">
              <w:rPr>
                <w:rFonts w:ascii="Times New Roman" w:hAnsi="Times New Roman" w:cs="Times New Roman"/>
                <w:sz w:val="24"/>
                <w:szCs w:val="24"/>
                <w:lang w:val="lv-LV"/>
              </w:rPr>
              <w:tab/>
            </w:r>
            <w:proofErr w:type="spellStart"/>
            <w:r w:rsidRPr="001B4029">
              <w:rPr>
                <w:rFonts w:ascii="Times New Roman" w:hAnsi="Times New Roman" w:cs="Times New Roman"/>
                <w:sz w:val="24"/>
                <w:szCs w:val="24"/>
                <w:lang w:val="lv-LV"/>
              </w:rPr>
              <w:t>Datorprogrammēšana</w:t>
            </w:r>
            <w:proofErr w:type="spellEnd"/>
            <w:r w:rsidRPr="001B4029">
              <w:rPr>
                <w:rFonts w:ascii="Times New Roman" w:hAnsi="Times New Roman" w:cs="Times New Roman"/>
                <w:sz w:val="24"/>
                <w:szCs w:val="24"/>
                <w:lang w:val="lv-LV"/>
              </w:rPr>
              <w:t>, konsultēšana un saistītas darbības;</w:t>
            </w:r>
          </w:p>
          <w:p w14:paraId="5A9BB3E9" w14:textId="77777777"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71</w:t>
            </w:r>
            <w:r w:rsidRPr="001B4029">
              <w:rPr>
                <w:rFonts w:ascii="Times New Roman" w:hAnsi="Times New Roman" w:cs="Times New Roman"/>
                <w:sz w:val="24"/>
                <w:szCs w:val="24"/>
                <w:lang w:val="lv-LV"/>
              </w:rPr>
              <w:tab/>
              <w:t>Arhitektūras un inženiertehniskie pakalpojumi; tehniskā pārbaude un analīze;</w:t>
            </w:r>
          </w:p>
          <w:p w14:paraId="2251D321" w14:textId="77777777"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74</w:t>
            </w:r>
            <w:r w:rsidRPr="001B4029">
              <w:rPr>
                <w:rFonts w:ascii="Times New Roman" w:hAnsi="Times New Roman" w:cs="Times New Roman"/>
                <w:sz w:val="24"/>
                <w:szCs w:val="24"/>
                <w:lang w:val="lv-LV"/>
              </w:rPr>
              <w:tab/>
              <w:t>Citi profesionālie, zinātniskie un tehniskie pakalpojumi, u.c.</w:t>
            </w:r>
          </w:p>
          <w:p w14:paraId="186E4BB4" w14:textId="77777777" w:rsidR="007C2005" w:rsidRPr="001B4029" w:rsidRDefault="007C2005" w:rsidP="007C2005">
            <w:pPr>
              <w:jc w:val="both"/>
              <w:rPr>
                <w:rFonts w:ascii="Times New Roman" w:hAnsi="Times New Roman" w:cs="Times New Roman"/>
                <w:sz w:val="24"/>
                <w:szCs w:val="24"/>
                <w:lang w:val="lv-LV"/>
              </w:rPr>
            </w:pPr>
          </w:p>
          <w:p w14:paraId="58DA0E14" w14:textId="2E4E7AE0" w:rsidR="007C2005" w:rsidRPr="001B4029" w:rsidRDefault="007C2005" w:rsidP="007C2005">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Paredzēts, ka piesaistītajiem saimnieciskās darbības vei</w:t>
            </w:r>
            <w:r w:rsidR="00DD7D02" w:rsidRPr="001B4029">
              <w:rPr>
                <w:rFonts w:ascii="Times New Roman" w:hAnsi="Times New Roman" w:cs="Times New Roman"/>
                <w:sz w:val="24"/>
                <w:szCs w:val="24"/>
                <w:lang w:val="lv-LV"/>
              </w:rPr>
              <w:t xml:space="preserve">cējiem – sadarbības partneriem atšķirsies </w:t>
            </w:r>
            <w:r w:rsidRPr="001B4029">
              <w:rPr>
                <w:rFonts w:ascii="Times New Roman" w:hAnsi="Times New Roman" w:cs="Times New Roman"/>
                <w:sz w:val="24"/>
                <w:szCs w:val="24"/>
                <w:lang w:val="lv-LV"/>
              </w:rPr>
              <w:t xml:space="preserve">saimnieciskās darbības statistiskās klasifikācijas </w:t>
            </w:r>
            <w:r w:rsidR="006D305C">
              <w:rPr>
                <w:rFonts w:ascii="Times New Roman" w:hAnsi="Times New Roman" w:cs="Times New Roman"/>
                <w:sz w:val="24"/>
                <w:szCs w:val="24"/>
                <w:lang w:val="lv-LV"/>
              </w:rPr>
              <w:t>kodi (NACE kodi) vismaz otrajā līmenī.</w:t>
            </w:r>
          </w:p>
          <w:p w14:paraId="59FB696B" w14:textId="628FB6B0" w:rsidR="007C2005" w:rsidRPr="001B4029" w:rsidRDefault="007C2005" w:rsidP="007C2005">
            <w:pPr>
              <w:jc w:val="both"/>
              <w:rPr>
                <w:rFonts w:ascii="Times New Roman" w:hAnsi="Times New Roman" w:cs="Times New Roman"/>
                <w:sz w:val="24"/>
                <w:szCs w:val="24"/>
                <w:lang w:val="lv-LV"/>
              </w:rPr>
            </w:pPr>
          </w:p>
        </w:tc>
      </w:tr>
      <w:tr w:rsidR="00747B2D" w:rsidRPr="001B4029" w14:paraId="40F6B3D7" w14:textId="77777777" w:rsidTr="003F48B2">
        <w:tc>
          <w:tcPr>
            <w:tcW w:w="9350" w:type="dxa"/>
            <w:gridSpan w:val="4"/>
            <w:shd w:val="clear" w:color="auto" w:fill="D9D9D9" w:themeFill="background1" w:themeFillShade="D9"/>
          </w:tcPr>
          <w:p w14:paraId="40ABDFE7" w14:textId="77777777" w:rsidR="00747B2D" w:rsidRPr="001B4029" w:rsidRDefault="00747B2D" w:rsidP="00B37CC1">
            <w:pPr>
              <w:pStyle w:val="Sarakstarindkopa"/>
              <w:numPr>
                <w:ilvl w:val="0"/>
                <w:numId w:val="4"/>
              </w:numPr>
              <w:ind w:left="451"/>
              <w:jc w:val="both"/>
              <w:rPr>
                <w:rFonts w:cs="Times New Roman"/>
                <w:bCs/>
                <w:sz w:val="24"/>
                <w:szCs w:val="24"/>
                <w:lang w:val="lv-LV"/>
              </w:rPr>
            </w:pPr>
            <w:r w:rsidRPr="001B4029">
              <w:rPr>
                <w:bCs/>
                <w:lang w:val="lv-LV"/>
              </w:rPr>
              <w:lastRenderedPageBreak/>
              <w:t>Pētniecības virzieni</w:t>
            </w:r>
            <w:r w:rsidRPr="001B4029">
              <w:rPr>
                <w:rFonts w:cs="Times New Roman"/>
                <w:bCs/>
                <w:sz w:val="24"/>
                <w:szCs w:val="24"/>
                <w:lang w:val="lv-LV"/>
              </w:rPr>
              <w:t xml:space="preserve"> </w:t>
            </w:r>
          </w:p>
          <w:p w14:paraId="389B82D3" w14:textId="538875DB" w:rsidR="00747B2D" w:rsidRPr="001B4029" w:rsidRDefault="00747B2D" w:rsidP="00747B2D">
            <w:pPr>
              <w:jc w:val="both"/>
              <w:rPr>
                <w:rFonts w:ascii="Times New Roman" w:hAnsi="Times New Roman" w:cs="Times New Roman"/>
                <w:sz w:val="24"/>
                <w:szCs w:val="24"/>
                <w:lang w:val="lv-LV"/>
              </w:rPr>
            </w:pPr>
            <w:r w:rsidRPr="001B4029">
              <w:rPr>
                <w:rFonts w:ascii="Times New Roman" w:hAnsi="Times New Roman" w:cs="Times New Roman"/>
                <w:bCs/>
                <w:i/>
                <w:iCs/>
                <w:sz w:val="24"/>
                <w:szCs w:val="24"/>
                <w:lang w:val="lv-LV"/>
              </w:rPr>
              <w:t xml:space="preserve">(apraksta plānotos pētniecības virzienus, </w:t>
            </w:r>
            <w:r w:rsidRPr="001B4029">
              <w:rPr>
                <w:rFonts w:ascii="Times New Roman" w:hAnsi="Times New Roman" w:cs="Times New Roman"/>
                <w:bCs/>
                <w:i/>
                <w:iCs/>
                <w:sz w:val="24"/>
                <w:szCs w:val="24"/>
                <w:lang w:val="lv-LV" w:eastAsia="lv-LV"/>
              </w:rPr>
              <w:t>norādot īsu kopsavilkumu, galvenās aktivitātes, plānotos rezultātus)</w:t>
            </w:r>
          </w:p>
        </w:tc>
      </w:tr>
      <w:tr w:rsidR="00846115" w:rsidRPr="001B4029" w14:paraId="62367A5C" w14:textId="77777777" w:rsidTr="009C04DD">
        <w:trPr>
          <w:trHeight w:val="238"/>
        </w:trPr>
        <w:tc>
          <w:tcPr>
            <w:tcW w:w="2252" w:type="dxa"/>
            <w:shd w:val="clear" w:color="auto" w:fill="F2F2F2" w:themeFill="background1" w:themeFillShade="F2"/>
          </w:tcPr>
          <w:p w14:paraId="069A6121" w14:textId="27249AF6" w:rsidR="00747B2D" w:rsidRPr="007F29D1" w:rsidRDefault="00747B2D" w:rsidP="00747B2D">
            <w:pPr>
              <w:jc w:val="both"/>
              <w:rPr>
                <w:rStyle w:val="Virsraksts1Rakstz"/>
                <w:rFonts w:cs="Times New Roman"/>
                <w:b w:val="0"/>
                <w:sz w:val="20"/>
                <w:szCs w:val="24"/>
                <w:lang w:val="lv-LV"/>
              </w:rPr>
            </w:pPr>
            <w:r w:rsidRPr="007F29D1">
              <w:rPr>
                <w:rFonts w:ascii="Times New Roman" w:hAnsi="Times New Roman" w:cs="Times New Roman"/>
                <w:bCs/>
                <w:i/>
                <w:iCs/>
                <w:sz w:val="20"/>
                <w:szCs w:val="24"/>
                <w:lang w:val="lv-LV"/>
              </w:rPr>
              <w:t>Pētniecības virziens</w:t>
            </w:r>
          </w:p>
        </w:tc>
        <w:tc>
          <w:tcPr>
            <w:tcW w:w="3563" w:type="dxa"/>
            <w:shd w:val="clear" w:color="auto" w:fill="F2F2F2" w:themeFill="background1" w:themeFillShade="F2"/>
          </w:tcPr>
          <w:p w14:paraId="6B8CDB32" w14:textId="564C039B" w:rsidR="00747B2D" w:rsidRPr="007F29D1" w:rsidRDefault="00747B2D" w:rsidP="00747B2D">
            <w:pPr>
              <w:jc w:val="both"/>
              <w:rPr>
                <w:rStyle w:val="Virsraksts1Rakstz"/>
                <w:rFonts w:cs="Times New Roman"/>
                <w:b w:val="0"/>
                <w:sz w:val="20"/>
                <w:szCs w:val="24"/>
                <w:lang w:val="lv-LV"/>
              </w:rPr>
            </w:pPr>
            <w:r w:rsidRPr="007F29D1">
              <w:rPr>
                <w:rFonts w:ascii="Times New Roman" w:hAnsi="Times New Roman" w:cs="Times New Roman"/>
                <w:bCs/>
                <w:i/>
                <w:iCs/>
                <w:sz w:val="20"/>
                <w:szCs w:val="24"/>
                <w:lang w:val="lv-LV"/>
              </w:rPr>
              <w:t xml:space="preserve">Plānotā pētniecības virziena </w:t>
            </w:r>
            <w:r w:rsidRPr="007F29D1">
              <w:rPr>
                <w:rFonts w:ascii="Times New Roman" w:hAnsi="Times New Roman" w:cs="Times New Roman"/>
                <w:bCs/>
                <w:i/>
                <w:iCs/>
                <w:sz w:val="20"/>
                <w:szCs w:val="24"/>
                <w:lang w:val="lv-LV" w:eastAsia="lv-LV"/>
              </w:rPr>
              <w:t>kopsavilkums</w:t>
            </w:r>
          </w:p>
        </w:tc>
        <w:tc>
          <w:tcPr>
            <w:tcW w:w="1705" w:type="dxa"/>
            <w:shd w:val="clear" w:color="auto" w:fill="F2F2F2" w:themeFill="background1" w:themeFillShade="F2"/>
          </w:tcPr>
          <w:p w14:paraId="15C1ED73" w14:textId="46E76EFE" w:rsidR="00747B2D" w:rsidRPr="007F29D1" w:rsidRDefault="00747B2D" w:rsidP="00747B2D">
            <w:pPr>
              <w:jc w:val="both"/>
              <w:rPr>
                <w:rStyle w:val="Virsraksts1Rakstz"/>
                <w:rFonts w:cs="Times New Roman"/>
                <w:b w:val="0"/>
                <w:sz w:val="20"/>
                <w:szCs w:val="24"/>
                <w:lang w:val="lv-LV"/>
              </w:rPr>
            </w:pPr>
            <w:r w:rsidRPr="007F29D1">
              <w:rPr>
                <w:rFonts w:ascii="Times New Roman" w:hAnsi="Times New Roman" w:cs="Times New Roman"/>
                <w:bCs/>
                <w:i/>
                <w:iCs/>
                <w:sz w:val="20"/>
                <w:szCs w:val="24"/>
                <w:lang w:val="lv-LV" w:eastAsia="lv-LV"/>
              </w:rPr>
              <w:t>Galvenās aktivitātes</w:t>
            </w:r>
          </w:p>
        </w:tc>
        <w:tc>
          <w:tcPr>
            <w:tcW w:w="1830" w:type="dxa"/>
            <w:shd w:val="clear" w:color="auto" w:fill="F2F2F2" w:themeFill="background1" w:themeFillShade="F2"/>
          </w:tcPr>
          <w:p w14:paraId="5F913F4E" w14:textId="3C217ECB" w:rsidR="00747B2D" w:rsidRPr="007F29D1" w:rsidRDefault="00747B2D" w:rsidP="00747B2D">
            <w:pPr>
              <w:jc w:val="both"/>
              <w:rPr>
                <w:rStyle w:val="Virsraksts1Rakstz"/>
                <w:rFonts w:cs="Times New Roman"/>
                <w:b w:val="0"/>
                <w:sz w:val="20"/>
                <w:szCs w:val="24"/>
                <w:lang w:val="lv-LV"/>
              </w:rPr>
            </w:pPr>
            <w:r w:rsidRPr="007F29D1">
              <w:rPr>
                <w:rFonts w:ascii="Times New Roman" w:hAnsi="Times New Roman" w:cs="Times New Roman"/>
                <w:bCs/>
                <w:i/>
                <w:iCs/>
                <w:sz w:val="20"/>
                <w:szCs w:val="24"/>
                <w:lang w:val="lv-LV" w:eastAsia="lv-LV"/>
              </w:rPr>
              <w:t>Plānotie rezultāti</w:t>
            </w:r>
          </w:p>
        </w:tc>
      </w:tr>
      <w:tr w:rsidR="00846115" w:rsidRPr="001B4029" w14:paraId="740AB094" w14:textId="77777777" w:rsidTr="009C04DD">
        <w:trPr>
          <w:trHeight w:val="236"/>
        </w:trPr>
        <w:tc>
          <w:tcPr>
            <w:tcW w:w="2252" w:type="dxa"/>
          </w:tcPr>
          <w:p w14:paraId="0B744C96" w14:textId="5D95F99A" w:rsidR="00DD7D02" w:rsidRPr="001B4029" w:rsidRDefault="00DD7D02" w:rsidP="00DD7D02">
            <w:pPr>
              <w:jc w:val="both"/>
              <w:rPr>
                <w:rStyle w:val="Virsraksts1Rakstz"/>
                <w:rFonts w:cs="Times New Roman"/>
                <w:b w:val="0"/>
                <w:szCs w:val="20"/>
                <w:lang w:val="lv-LV"/>
              </w:rPr>
            </w:pPr>
            <w:r w:rsidRPr="001B4029">
              <w:rPr>
                <w:rStyle w:val="Virsraksts1Rakstz"/>
                <w:rFonts w:cs="Times New Roman"/>
                <w:b w:val="0"/>
                <w:szCs w:val="20"/>
                <w:lang w:val="lv-LV"/>
              </w:rPr>
              <w:t xml:space="preserve">Automatizētu </w:t>
            </w:r>
            <w:proofErr w:type="spellStart"/>
            <w:r w:rsidRPr="001B4029">
              <w:rPr>
                <w:rStyle w:val="Virsraksts1Rakstz"/>
                <w:rFonts w:cs="Times New Roman"/>
                <w:b w:val="0"/>
                <w:szCs w:val="20"/>
                <w:lang w:val="lv-LV"/>
              </w:rPr>
              <w:t>inženiersistēmu</w:t>
            </w:r>
            <w:proofErr w:type="spellEnd"/>
            <w:r w:rsidRPr="001B4029">
              <w:rPr>
                <w:rStyle w:val="Virsraksts1Rakstz"/>
                <w:rFonts w:cs="Times New Roman"/>
                <w:b w:val="0"/>
                <w:szCs w:val="20"/>
                <w:lang w:val="lv-LV"/>
              </w:rPr>
              <w:t xml:space="preserve"> ražošanas tehnoloģijas</w:t>
            </w:r>
          </w:p>
        </w:tc>
        <w:tc>
          <w:tcPr>
            <w:tcW w:w="3563" w:type="dxa"/>
          </w:tcPr>
          <w:p w14:paraId="624799C4" w14:textId="77777777" w:rsidR="00DD7D02" w:rsidRDefault="001B4029" w:rsidP="003F48B2">
            <w:pPr>
              <w:jc w:val="both"/>
              <w:rPr>
                <w:rStyle w:val="Virsraksts1Rakstz"/>
                <w:rFonts w:cs="Times New Roman"/>
                <w:b w:val="0"/>
                <w:sz w:val="20"/>
                <w:szCs w:val="20"/>
                <w:lang w:val="lv-LV"/>
              </w:rPr>
            </w:pPr>
            <w:r w:rsidRPr="001B4029">
              <w:rPr>
                <w:rStyle w:val="Virsraksts1Rakstz"/>
                <w:rFonts w:cs="Times New Roman"/>
                <w:b w:val="0"/>
                <w:sz w:val="20"/>
                <w:szCs w:val="20"/>
                <w:lang w:val="lv-LV"/>
              </w:rPr>
              <w:t xml:space="preserve">Attīstoties elektronikai, MEM sistēmām un </w:t>
            </w:r>
            <w:proofErr w:type="spellStart"/>
            <w:r w:rsidRPr="001B4029">
              <w:rPr>
                <w:rStyle w:val="Virsraksts1Rakstz"/>
                <w:rFonts w:cs="Times New Roman"/>
                <w:b w:val="0"/>
                <w:sz w:val="20"/>
                <w:szCs w:val="20"/>
                <w:lang w:val="lv-LV"/>
              </w:rPr>
              <w:t>IoT</w:t>
            </w:r>
            <w:proofErr w:type="spellEnd"/>
            <w:r w:rsidRPr="001B4029">
              <w:rPr>
                <w:rStyle w:val="Virsraksts1Rakstz"/>
                <w:rFonts w:cs="Times New Roman"/>
                <w:b w:val="0"/>
                <w:sz w:val="20"/>
                <w:szCs w:val="20"/>
                <w:lang w:val="lv-LV"/>
              </w:rPr>
              <w:t xml:space="preserve"> risinājumiem, automatizācijas tehnoloģijas ir ieguvušas jaunu perspektīvu. Kā rāda analīze, galvenie attīstības virzieni ir saistīti ar autonomām tehnoloģijām, mašīnu spēju mācīties, pūļa robotu sistēmām, ko nodrošina moderno sensoru attīstība un skaitļošanas jaudas pieaugums. Attiecīgi automatizācijas iespējas paveras gandrīz visās iekārtu ražošanas nozarēs, sākot no enerģētikas un beidzot ar pārtikas rūpniecību. Tā kā šie risinājumi spēj nodrošināt būtisku produktivitātes kāpumu, energoresursu izmantošanas samazinājumu un jaunas kvalitātes kontroles iespējas ražošanā, to pieprasījums tirgū </w:t>
            </w:r>
            <w:r w:rsidR="003F48B2">
              <w:rPr>
                <w:rStyle w:val="Virsraksts1Rakstz"/>
                <w:rFonts w:cs="Times New Roman"/>
                <w:b w:val="0"/>
                <w:sz w:val="20"/>
                <w:szCs w:val="20"/>
                <w:lang w:val="lv-LV"/>
              </w:rPr>
              <w:t>turpinās dominēt</w:t>
            </w:r>
            <w:r w:rsidRPr="001B4029">
              <w:rPr>
                <w:rStyle w:val="Virsraksts1Rakstz"/>
                <w:rFonts w:cs="Times New Roman"/>
                <w:b w:val="0"/>
                <w:sz w:val="20"/>
                <w:szCs w:val="20"/>
                <w:lang w:val="lv-LV"/>
              </w:rPr>
              <w:t xml:space="preserve">. </w:t>
            </w:r>
          </w:p>
          <w:p w14:paraId="3B243812" w14:textId="77777777" w:rsidR="003F48B2" w:rsidRDefault="003F48B2" w:rsidP="003F48B2">
            <w:pPr>
              <w:jc w:val="both"/>
              <w:rPr>
                <w:rStyle w:val="Virsraksts1Rakstz"/>
                <w:rFonts w:cs="Times New Roman"/>
                <w:b w:val="0"/>
                <w:sz w:val="20"/>
                <w:szCs w:val="20"/>
                <w:lang w:val="lv-LV"/>
              </w:rPr>
            </w:pPr>
            <w:r>
              <w:rPr>
                <w:rStyle w:val="Virsraksts1Rakstz"/>
                <w:rFonts w:cs="Times New Roman"/>
                <w:b w:val="0"/>
                <w:sz w:val="20"/>
                <w:szCs w:val="20"/>
                <w:lang w:val="lv-LV"/>
              </w:rPr>
              <w:t>M</w:t>
            </w:r>
            <w:r w:rsidRPr="003F48B2">
              <w:rPr>
                <w:rStyle w:val="Virsraksts1Rakstz"/>
                <w:rFonts w:cs="Times New Roman"/>
                <w:b w:val="0"/>
                <w:sz w:val="20"/>
                <w:szCs w:val="20"/>
                <w:lang w:val="lv-LV"/>
              </w:rPr>
              <w:t xml:space="preserve">ehānisko un digitālo tehnoloģiju apvienošana ar mākslīgā intelekta, datu analīzes un kognitīvo tehnoloģiju attīstību, novedīs pie tādu globālu sistēmu izveides, kas rada dramatiskus </w:t>
            </w:r>
            <w:r w:rsidRPr="003F48B2">
              <w:rPr>
                <w:rStyle w:val="Virsraksts1Rakstz"/>
                <w:rFonts w:cs="Times New Roman"/>
                <w:b w:val="0"/>
                <w:sz w:val="20"/>
                <w:szCs w:val="20"/>
                <w:lang w:val="lv-LV"/>
              </w:rPr>
              <w:lastRenderedPageBreak/>
              <w:t>efektivitātes ieguvumus un ļauj uzņēmumiem pieņemt vairāk informētus un integrētus lēmumus.</w:t>
            </w:r>
            <w:r>
              <w:rPr>
                <w:rStyle w:val="Virsraksts1Rakstz"/>
                <w:rFonts w:cs="Times New Roman"/>
                <w:b w:val="0"/>
                <w:sz w:val="20"/>
                <w:szCs w:val="20"/>
                <w:lang w:val="lv-LV"/>
              </w:rPr>
              <w:t xml:space="preserve"> Šobrīd joprojām ir aktuāla I</w:t>
            </w:r>
            <w:r w:rsidRPr="003F48B2">
              <w:rPr>
                <w:rStyle w:val="Virsraksts1Rakstz"/>
                <w:rFonts w:cs="Times New Roman"/>
                <w:b w:val="0"/>
                <w:sz w:val="20"/>
                <w:szCs w:val="20"/>
                <w:lang w:val="lv-LV"/>
              </w:rPr>
              <w:t>ndustrijas 4.0 risinājumu (automatizētas iekārtas, robotu risinājumi, sensoru tīkli un sakaru tehnoloģijas, mākslīgā intelekta risinājumu tehnoloģijas un citi investīcijas mērķim atbilstoši risinājumi, izmantojot informācijas un komunikācijas tehnoloģijas)</w:t>
            </w:r>
            <w:r>
              <w:rPr>
                <w:rStyle w:val="Virsraksts1Rakstz"/>
                <w:rFonts w:cs="Times New Roman"/>
                <w:b w:val="0"/>
                <w:sz w:val="20"/>
                <w:szCs w:val="20"/>
                <w:lang w:val="lv-LV"/>
              </w:rPr>
              <w:t xml:space="preserve"> risinājumu izstrāde.</w:t>
            </w:r>
          </w:p>
          <w:p w14:paraId="37561402" w14:textId="77777777" w:rsidR="003F48B2" w:rsidRDefault="003F48B2" w:rsidP="003F48B2">
            <w:pPr>
              <w:jc w:val="both"/>
              <w:rPr>
                <w:rStyle w:val="Virsraksts1Rakstz"/>
                <w:rFonts w:cs="Times New Roman"/>
                <w:b w:val="0"/>
                <w:sz w:val="20"/>
                <w:szCs w:val="20"/>
                <w:lang w:val="lv-LV"/>
              </w:rPr>
            </w:pPr>
            <w:r>
              <w:rPr>
                <w:rStyle w:val="Virsraksts1Rakstz"/>
                <w:rFonts w:cs="Times New Roman"/>
                <w:b w:val="0"/>
                <w:sz w:val="20"/>
                <w:szCs w:val="20"/>
                <w:lang w:val="lv-LV"/>
              </w:rPr>
              <w:t>G</w:t>
            </w:r>
            <w:r w:rsidRPr="003F48B2">
              <w:rPr>
                <w:rStyle w:val="Virsraksts1Rakstz"/>
                <w:rFonts w:cs="Times New Roman"/>
                <w:b w:val="0"/>
                <w:sz w:val="20"/>
                <w:szCs w:val="20"/>
                <w:lang w:val="lv-LV"/>
              </w:rPr>
              <w:t xml:space="preserve">lobālo ražotāju darbā arvien vairāk tiek integrēti </w:t>
            </w:r>
            <w:proofErr w:type="spellStart"/>
            <w:r w:rsidRPr="003F48B2">
              <w:rPr>
                <w:rStyle w:val="Virsraksts1Rakstz"/>
                <w:rFonts w:cs="Times New Roman"/>
                <w:b w:val="0"/>
                <w:sz w:val="20"/>
                <w:szCs w:val="20"/>
                <w:lang w:val="lv-LV"/>
              </w:rPr>
              <w:t>mašīnmācīšanās</w:t>
            </w:r>
            <w:proofErr w:type="spellEnd"/>
            <w:r w:rsidRPr="003F48B2">
              <w:rPr>
                <w:rStyle w:val="Virsraksts1Rakstz"/>
                <w:rFonts w:cs="Times New Roman"/>
                <w:b w:val="0"/>
                <w:sz w:val="20"/>
                <w:szCs w:val="20"/>
                <w:lang w:val="lv-LV"/>
              </w:rPr>
              <w:t xml:space="preserve"> algoritmi, veidojot vienotu industriālo darbaspēku – noteiktu darba organizāciju, kurā cilvēku darbu atvieglo un atbalsta </w:t>
            </w:r>
            <w:proofErr w:type="spellStart"/>
            <w:r w:rsidRPr="003F48B2">
              <w:rPr>
                <w:rStyle w:val="Virsraksts1Rakstz"/>
                <w:rFonts w:cs="Times New Roman"/>
                <w:b w:val="0"/>
                <w:sz w:val="20"/>
                <w:szCs w:val="20"/>
                <w:lang w:val="lv-LV"/>
              </w:rPr>
              <w:t>pašmācošās</w:t>
            </w:r>
            <w:proofErr w:type="spellEnd"/>
            <w:r w:rsidRPr="003F48B2">
              <w:rPr>
                <w:rStyle w:val="Virsraksts1Rakstz"/>
                <w:rFonts w:cs="Times New Roman"/>
                <w:b w:val="0"/>
                <w:sz w:val="20"/>
                <w:szCs w:val="20"/>
                <w:lang w:val="lv-LV"/>
              </w:rPr>
              <w:t xml:space="preserve"> iekārtas. Apvienojot tās ar mobilajām (</w:t>
            </w:r>
            <w:proofErr w:type="spellStart"/>
            <w:r w:rsidRPr="003F48B2">
              <w:rPr>
                <w:rStyle w:val="Virsraksts1Rakstz"/>
                <w:rFonts w:cs="Times New Roman"/>
                <w:b w:val="0"/>
                <w:sz w:val="20"/>
                <w:szCs w:val="20"/>
                <w:lang w:val="lv-LV"/>
              </w:rPr>
              <w:t>IoT</w:t>
            </w:r>
            <w:proofErr w:type="spellEnd"/>
            <w:r w:rsidRPr="003F48B2">
              <w:rPr>
                <w:rStyle w:val="Virsraksts1Rakstz"/>
                <w:rFonts w:cs="Times New Roman"/>
                <w:b w:val="0"/>
                <w:sz w:val="20"/>
                <w:szCs w:val="20"/>
                <w:lang w:val="lv-LV"/>
              </w:rPr>
              <w:t xml:space="preserve">, nākotnē - 5G) un drošības tehnoloģijām, tiek būtiski izlabots darbinieku veikums un efektivitāte. Vadošie ražotāji šobrīd iegulda </w:t>
            </w:r>
            <w:proofErr w:type="spellStart"/>
            <w:r w:rsidRPr="003F48B2">
              <w:rPr>
                <w:rStyle w:val="Virsraksts1Rakstz"/>
                <w:rFonts w:cs="Times New Roman"/>
                <w:b w:val="0"/>
                <w:sz w:val="20"/>
                <w:szCs w:val="20"/>
                <w:lang w:val="lv-LV"/>
              </w:rPr>
              <w:t>rekordinvestīcijas</w:t>
            </w:r>
            <w:proofErr w:type="spellEnd"/>
            <w:r w:rsidRPr="003F48B2">
              <w:rPr>
                <w:rStyle w:val="Virsraksts1Rakstz"/>
                <w:rFonts w:cs="Times New Roman"/>
                <w:b w:val="0"/>
                <w:sz w:val="20"/>
                <w:szCs w:val="20"/>
                <w:lang w:val="lv-LV"/>
              </w:rPr>
              <w:t xml:space="preserve"> automātikā un mākslīgā intelekta tehnoloģijās, kas uzlabo viņu konkurenci tirgū.</w:t>
            </w:r>
          </w:p>
          <w:p w14:paraId="07AAC374" w14:textId="1A707D60" w:rsidR="003F48B2" w:rsidRPr="001B4029" w:rsidRDefault="003F48B2" w:rsidP="003F48B2">
            <w:pPr>
              <w:jc w:val="both"/>
              <w:rPr>
                <w:rStyle w:val="Virsraksts1Rakstz"/>
                <w:rFonts w:cs="Times New Roman"/>
                <w:b w:val="0"/>
                <w:sz w:val="20"/>
                <w:szCs w:val="20"/>
                <w:lang w:val="lv-LV"/>
              </w:rPr>
            </w:pPr>
            <w:r>
              <w:rPr>
                <w:rStyle w:val="Virsraksts1Rakstz"/>
                <w:rFonts w:cs="Times New Roman"/>
                <w:b w:val="0"/>
                <w:sz w:val="20"/>
                <w:szCs w:val="20"/>
                <w:lang w:val="lv-LV"/>
              </w:rPr>
              <w:t xml:space="preserve">Ņemot vērā minēto, </w:t>
            </w:r>
            <w:r w:rsidRPr="003F48B2">
              <w:rPr>
                <w:rStyle w:val="Virsraksts1Rakstz"/>
                <w:rFonts w:cs="Times New Roman"/>
                <w:b w:val="0"/>
                <w:sz w:val="20"/>
                <w:szCs w:val="20"/>
                <w:lang w:val="lv-LV"/>
              </w:rPr>
              <w:t xml:space="preserve">Latvijas nozares ražotājiem, lai saglabātu </w:t>
            </w:r>
            <w:r>
              <w:rPr>
                <w:rStyle w:val="Virsraksts1Rakstz"/>
                <w:rFonts w:cs="Times New Roman"/>
                <w:b w:val="0"/>
                <w:sz w:val="20"/>
                <w:szCs w:val="20"/>
                <w:lang w:val="lv-LV"/>
              </w:rPr>
              <w:t xml:space="preserve">un veicinātu </w:t>
            </w:r>
            <w:r w:rsidRPr="003F48B2">
              <w:rPr>
                <w:rStyle w:val="Virsraksts1Rakstz"/>
                <w:rFonts w:cs="Times New Roman"/>
                <w:b w:val="0"/>
                <w:sz w:val="20"/>
                <w:szCs w:val="20"/>
                <w:lang w:val="lv-LV"/>
              </w:rPr>
              <w:t>konkurētspēju eksporta tirgos</w:t>
            </w:r>
            <w:r w:rsidR="00857B1D">
              <w:rPr>
                <w:rStyle w:val="Virsraksts1Rakstz"/>
                <w:rFonts w:cs="Times New Roman"/>
                <w:b w:val="0"/>
                <w:sz w:val="20"/>
                <w:szCs w:val="20"/>
                <w:lang w:val="lv-LV"/>
              </w:rPr>
              <w:t>,</w:t>
            </w:r>
            <w:r w:rsidRPr="003F48B2">
              <w:rPr>
                <w:rStyle w:val="Virsraksts1Rakstz"/>
                <w:rFonts w:cs="Times New Roman"/>
                <w:b w:val="0"/>
                <w:sz w:val="20"/>
                <w:szCs w:val="20"/>
                <w:lang w:val="lv-LV"/>
              </w:rPr>
              <w:t xml:space="preserve"> </w:t>
            </w:r>
            <w:r>
              <w:rPr>
                <w:rStyle w:val="Virsraksts1Rakstz"/>
                <w:rFonts w:cs="Times New Roman"/>
                <w:b w:val="0"/>
                <w:sz w:val="20"/>
                <w:szCs w:val="20"/>
                <w:lang w:val="lv-LV"/>
              </w:rPr>
              <w:t xml:space="preserve">joprojām </w:t>
            </w:r>
            <w:r w:rsidRPr="003F48B2">
              <w:rPr>
                <w:rStyle w:val="Virsraksts1Rakstz"/>
                <w:rFonts w:cs="Times New Roman"/>
                <w:b w:val="0"/>
                <w:sz w:val="20"/>
                <w:szCs w:val="20"/>
                <w:lang w:val="lv-LV"/>
              </w:rPr>
              <w:t xml:space="preserve"> būtiski </w:t>
            </w:r>
            <w:r>
              <w:rPr>
                <w:rStyle w:val="Virsraksts1Rakstz"/>
                <w:rFonts w:cs="Times New Roman"/>
                <w:b w:val="0"/>
                <w:sz w:val="20"/>
                <w:szCs w:val="20"/>
                <w:lang w:val="lv-LV"/>
              </w:rPr>
              <w:t>jāturpina palielināt</w:t>
            </w:r>
            <w:r w:rsidRPr="003F48B2">
              <w:rPr>
                <w:rStyle w:val="Virsraksts1Rakstz"/>
                <w:rFonts w:cs="Times New Roman"/>
                <w:b w:val="0"/>
                <w:sz w:val="20"/>
                <w:szCs w:val="20"/>
                <w:lang w:val="lv-LV"/>
              </w:rPr>
              <w:t xml:space="preserve"> investīcijas automatizētu </w:t>
            </w:r>
            <w:proofErr w:type="spellStart"/>
            <w:r w:rsidRPr="003F48B2">
              <w:rPr>
                <w:rStyle w:val="Virsraksts1Rakstz"/>
                <w:rFonts w:cs="Times New Roman"/>
                <w:b w:val="0"/>
                <w:sz w:val="20"/>
                <w:szCs w:val="20"/>
                <w:lang w:val="lv-LV"/>
              </w:rPr>
              <w:t>inženiersistēmu</w:t>
            </w:r>
            <w:proofErr w:type="spellEnd"/>
            <w:r w:rsidRPr="003F48B2">
              <w:rPr>
                <w:rStyle w:val="Virsraksts1Rakstz"/>
                <w:rFonts w:cs="Times New Roman"/>
                <w:b w:val="0"/>
                <w:sz w:val="20"/>
                <w:szCs w:val="20"/>
                <w:lang w:val="lv-LV"/>
              </w:rPr>
              <w:t xml:space="preserve"> ražošanas tehnoloģiju attīstībā, lai spētu </w:t>
            </w:r>
            <w:r>
              <w:rPr>
                <w:rStyle w:val="Virsraksts1Rakstz"/>
                <w:rFonts w:cs="Times New Roman"/>
                <w:b w:val="0"/>
                <w:sz w:val="20"/>
                <w:szCs w:val="20"/>
                <w:lang w:val="lv-LV"/>
              </w:rPr>
              <w:t>konkurēt</w:t>
            </w:r>
            <w:r w:rsidRPr="003F48B2">
              <w:rPr>
                <w:rStyle w:val="Virsraksts1Rakstz"/>
                <w:rFonts w:cs="Times New Roman"/>
                <w:b w:val="0"/>
                <w:sz w:val="20"/>
                <w:szCs w:val="20"/>
                <w:lang w:val="lv-LV"/>
              </w:rPr>
              <w:t xml:space="preserve"> mūsdienu globālajā tirgū.</w:t>
            </w:r>
          </w:p>
        </w:tc>
        <w:tc>
          <w:tcPr>
            <w:tcW w:w="1705" w:type="dxa"/>
          </w:tcPr>
          <w:p w14:paraId="5B0F70DA" w14:textId="1CF8B9DF" w:rsidR="007F29D1" w:rsidRPr="007F29D1" w:rsidRDefault="007F29D1" w:rsidP="007F29D1">
            <w:pPr>
              <w:jc w:val="both"/>
              <w:rPr>
                <w:rStyle w:val="Virsraksts1Rakstz"/>
                <w:rFonts w:cs="Times New Roman"/>
                <w:b w:val="0"/>
                <w:sz w:val="20"/>
                <w:szCs w:val="20"/>
                <w:lang w:val="lv-LV"/>
              </w:rPr>
            </w:pPr>
            <w:r>
              <w:rPr>
                <w:rStyle w:val="Virsraksts1Rakstz"/>
                <w:rFonts w:cs="Times New Roman"/>
                <w:b w:val="0"/>
                <w:sz w:val="20"/>
                <w:szCs w:val="20"/>
                <w:lang w:val="lv-LV"/>
              </w:rPr>
              <w:lastRenderedPageBreak/>
              <w:t>P</w:t>
            </w:r>
            <w:r w:rsidRPr="007F29D1">
              <w:rPr>
                <w:rStyle w:val="Virsraksts1Rakstz"/>
                <w:rFonts w:cs="Times New Roman"/>
                <w:b w:val="0"/>
                <w:sz w:val="20"/>
                <w:szCs w:val="20"/>
                <w:lang w:val="lv-LV"/>
              </w:rPr>
              <w:t xml:space="preserve">ētniecības projektu </w:t>
            </w:r>
            <w:r>
              <w:rPr>
                <w:rStyle w:val="Virsraksts1Rakstz"/>
                <w:rFonts w:cs="Times New Roman"/>
                <w:b w:val="0"/>
                <w:sz w:val="20"/>
                <w:szCs w:val="20"/>
                <w:lang w:val="lv-LV"/>
              </w:rPr>
              <w:t xml:space="preserve">atlase un </w:t>
            </w:r>
            <w:r w:rsidRPr="007F29D1">
              <w:rPr>
                <w:rStyle w:val="Virsraksts1Rakstz"/>
                <w:rFonts w:cs="Times New Roman"/>
                <w:b w:val="0"/>
                <w:sz w:val="20"/>
                <w:szCs w:val="20"/>
                <w:lang w:val="lv-LV"/>
              </w:rPr>
              <w:t xml:space="preserve">īstenošana </w:t>
            </w:r>
          </w:p>
          <w:p w14:paraId="3D18EC04" w14:textId="472AE62B" w:rsidR="00DD7D02" w:rsidRPr="001B4029" w:rsidRDefault="00DD7D02" w:rsidP="007F29D1">
            <w:pPr>
              <w:jc w:val="both"/>
              <w:rPr>
                <w:rStyle w:val="Virsraksts1Rakstz"/>
                <w:rFonts w:cs="Times New Roman"/>
                <w:b w:val="0"/>
                <w:sz w:val="20"/>
                <w:szCs w:val="20"/>
                <w:lang w:val="lv-LV"/>
              </w:rPr>
            </w:pPr>
          </w:p>
        </w:tc>
        <w:tc>
          <w:tcPr>
            <w:tcW w:w="1830" w:type="dxa"/>
          </w:tcPr>
          <w:p w14:paraId="74AB8B44" w14:textId="7676598F" w:rsidR="00DD7D02" w:rsidRPr="001B4029" w:rsidRDefault="007F29D1" w:rsidP="007F29D1">
            <w:pPr>
              <w:jc w:val="both"/>
              <w:rPr>
                <w:rStyle w:val="Virsraksts1Rakstz"/>
                <w:rFonts w:cs="Times New Roman"/>
                <w:b w:val="0"/>
                <w:sz w:val="20"/>
                <w:szCs w:val="20"/>
                <w:lang w:val="lv-LV"/>
              </w:rPr>
            </w:pPr>
            <w:r>
              <w:rPr>
                <w:rStyle w:val="Virsraksts1Rakstz"/>
                <w:rFonts w:cs="Times New Roman"/>
                <w:b w:val="0"/>
                <w:sz w:val="20"/>
                <w:szCs w:val="20"/>
                <w:lang w:val="lv-LV"/>
              </w:rPr>
              <w:t>Pētniecības projektos</w:t>
            </w:r>
            <w:r w:rsidRPr="007F29D1">
              <w:rPr>
                <w:rStyle w:val="Virsraksts1Rakstz"/>
                <w:rFonts w:cs="Times New Roman"/>
                <w:b w:val="0"/>
                <w:sz w:val="20"/>
                <w:szCs w:val="20"/>
                <w:lang w:val="lv-LV"/>
              </w:rPr>
              <w:t xml:space="preserve"> p</w:t>
            </w:r>
            <w:r>
              <w:rPr>
                <w:rStyle w:val="Virsraksts1Rakstz"/>
                <w:rFonts w:cs="Times New Roman"/>
                <w:b w:val="0"/>
                <w:sz w:val="20"/>
                <w:szCs w:val="20"/>
                <w:lang w:val="lv-LV"/>
              </w:rPr>
              <w:t>aredzēto rezultātu sasniegšana</w:t>
            </w:r>
          </w:p>
        </w:tc>
      </w:tr>
      <w:tr w:rsidR="00846115" w:rsidRPr="001B4029" w14:paraId="7CA8AB1E" w14:textId="77777777" w:rsidTr="009C04DD">
        <w:trPr>
          <w:trHeight w:val="236"/>
        </w:trPr>
        <w:tc>
          <w:tcPr>
            <w:tcW w:w="2252" w:type="dxa"/>
          </w:tcPr>
          <w:p w14:paraId="232819A0" w14:textId="40919939" w:rsidR="00846115" w:rsidRPr="001B4029" w:rsidRDefault="00846115" w:rsidP="00846115">
            <w:pPr>
              <w:jc w:val="both"/>
              <w:rPr>
                <w:rStyle w:val="Virsraksts1Rakstz"/>
                <w:rFonts w:cs="Times New Roman"/>
                <w:b w:val="0"/>
                <w:szCs w:val="20"/>
                <w:lang w:val="lv-LV"/>
              </w:rPr>
            </w:pPr>
            <w:r w:rsidRPr="001B4029">
              <w:rPr>
                <w:rStyle w:val="Virsraksts1Rakstz"/>
                <w:rFonts w:cs="Times New Roman"/>
                <w:b w:val="0"/>
                <w:szCs w:val="20"/>
                <w:lang w:val="lv-LV"/>
              </w:rPr>
              <w:t>Materiālu ražošanas tehnoloģijas</w:t>
            </w:r>
          </w:p>
        </w:tc>
        <w:tc>
          <w:tcPr>
            <w:tcW w:w="3563" w:type="dxa"/>
          </w:tcPr>
          <w:p w14:paraId="7BAD335A" w14:textId="0E2C288D" w:rsidR="00846115" w:rsidRDefault="00846115" w:rsidP="00846115">
            <w:pPr>
              <w:jc w:val="both"/>
              <w:rPr>
                <w:rStyle w:val="Virsraksts1Rakstz"/>
                <w:rFonts w:cs="Times New Roman"/>
                <w:b w:val="0"/>
                <w:sz w:val="20"/>
                <w:szCs w:val="20"/>
                <w:lang w:val="lv-LV"/>
              </w:rPr>
            </w:pPr>
            <w:r w:rsidRPr="00846115">
              <w:rPr>
                <w:rStyle w:val="Virsraksts1Rakstz"/>
                <w:rFonts w:cs="Times New Roman"/>
                <w:b w:val="0"/>
                <w:sz w:val="20"/>
                <w:szCs w:val="20"/>
                <w:lang w:val="lv-LV"/>
              </w:rPr>
              <w:t>Tehnoloģiskais progress aviācijā, robotikā un automatizācijā ir radījis papildu spiedienu uz ražotājiem izstrādāt arvien jaunus un uzlabotus materiālus. Analīze rāda pakāpenisku metāla izmantošanas samazinājumu kopš pagājušā gadsimta sešdesmitajiem gadiem, pieaugot kompozītu, polimēru un moderno keramisko materiālu izmantošanai. Tas nodrošina produktus ar uzlabotu veiktspēju, termoizturību, UV izturību, ilgāku dzīves ciklu un labāku energoefektivitāti. Nozares zinātniskie partneri spēj nodrošināt savu ieguldījumu materiālu tehnoloģiju komercializācijā, kas rada kopā nepieciešamos priekšnosacījumus virziena potenciālam.</w:t>
            </w:r>
          </w:p>
          <w:p w14:paraId="546BC97E" w14:textId="4F1C4F83" w:rsidR="00846115" w:rsidRPr="001B4029" w:rsidRDefault="00846115" w:rsidP="00846115">
            <w:pPr>
              <w:jc w:val="both"/>
              <w:rPr>
                <w:rStyle w:val="Virsraksts1Rakstz"/>
                <w:rFonts w:cs="Times New Roman"/>
                <w:b w:val="0"/>
                <w:sz w:val="20"/>
                <w:szCs w:val="20"/>
                <w:lang w:val="lv-LV"/>
              </w:rPr>
            </w:pPr>
            <w:r w:rsidRPr="00846115">
              <w:rPr>
                <w:rStyle w:val="Virsraksts1Rakstz"/>
                <w:rFonts w:cs="Times New Roman"/>
                <w:b w:val="0"/>
                <w:sz w:val="20"/>
                <w:szCs w:val="20"/>
                <w:lang w:val="lv-LV"/>
              </w:rPr>
              <w:t xml:space="preserve">Atsevišķi šeit būtu jāizdala viedie materiāli – tie ir materiāli, kuru struktūrā ir objekti, kas reaģē uz </w:t>
            </w:r>
            <w:r w:rsidRPr="00846115">
              <w:rPr>
                <w:rStyle w:val="Virsraksts1Rakstz"/>
                <w:rFonts w:cs="Times New Roman"/>
                <w:b w:val="0"/>
                <w:sz w:val="20"/>
                <w:szCs w:val="20"/>
                <w:lang w:val="lv-LV"/>
              </w:rPr>
              <w:lastRenderedPageBreak/>
              <w:t>apkārtējās vides signāliem, mainot kādu no savām īpašībām. Šādi materiāli tiek veidoti tā, lai tie</w:t>
            </w:r>
            <w:r w:rsidR="005D612F">
              <w:rPr>
                <w:rStyle w:val="Virsraksts1Rakstz"/>
                <w:rFonts w:cs="Times New Roman"/>
                <w:b w:val="0"/>
                <w:sz w:val="20"/>
                <w:szCs w:val="20"/>
                <w:lang w:val="lv-LV"/>
              </w:rPr>
              <w:t>,</w:t>
            </w:r>
            <w:r w:rsidRPr="00846115">
              <w:rPr>
                <w:rStyle w:val="Virsraksts1Rakstz"/>
                <w:rFonts w:cs="Times New Roman"/>
                <w:b w:val="0"/>
                <w:sz w:val="20"/>
                <w:szCs w:val="20"/>
                <w:lang w:val="lv-LV"/>
              </w:rPr>
              <w:t xml:space="preserve"> selektīvi reaģējot uz noteiktu signāla veidu</w:t>
            </w:r>
            <w:r w:rsidR="005D612F">
              <w:rPr>
                <w:rStyle w:val="Virsraksts1Rakstz"/>
                <w:rFonts w:cs="Times New Roman"/>
                <w:b w:val="0"/>
                <w:sz w:val="20"/>
                <w:szCs w:val="20"/>
                <w:lang w:val="lv-LV"/>
              </w:rPr>
              <w:t>,</w:t>
            </w:r>
            <w:r w:rsidRPr="00846115">
              <w:rPr>
                <w:rStyle w:val="Virsraksts1Rakstz"/>
                <w:rFonts w:cs="Times New Roman"/>
                <w:b w:val="0"/>
                <w:sz w:val="20"/>
                <w:szCs w:val="20"/>
                <w:lang w:val="lv-LV"/>
              </w:rPr>
              <w:t xml:space="preserve"> mainītu savu struktūru vai pārveidotu enerģiju no viena veida otrā. Saskaņā ar Grand </w:t>
            </w:r>
            <w:proofErr w:type="spellStart"/>
            <w:r w:rsidRPr="00846115">
              <w:rPr>
                <w:rStyle w:val="Virsraksts1Rakstz"/>
                <w:rFonts w:cs="Times New Roman"/>
                <w:b w:val="0"/>
                <w:sz w:val="20"/>
                <w:szCs w:val="20"/>
                <w:lang w:val="lv-LV"/>
              </w:rPr>
              <w:t>View</w:t>
            </w:r>
            <w:proofErr w:type="spellEnd"/>
            <w:r w:rsidRPr="00846115">
              <w:rPr>
                <w:rStyle w:val="Virsraksts1Rakstz"/>
                <w:rFonts w:cs="Times New Roman"/>
                <w:b w:val="0"/>
                <w:sz w:val="20"/>
                <w:szCs w:val="20"/>
                <w:lang w:val="lv-LV"/>
              </w:rPr>
              <w:t xml:space="preserve"> </w:t>
            </w:r>
            <w:proofErr w:type="spellStart"/>
            <w:r w:rsidRPr="00846115">
              <w:rPr>
                <w:rStyle w:val="Virsraksts1Rakstz"/>
                <w:rFonts w:cs="Times New Roman"/>
                <w:b w:val="0"/>
                <w:sz w:val="20"/>
                <w:szCs w:val="20"/>
                <w:lang w:val="lv-LV"/>
              </w:rPr>
              <w:t>Research</w:t>
            </w:r>
            <w:proofErr w:type="spellEnd"/>
            <w:r w:rsidRPr="00846115">
              <w:rPr>
                <w:rStyle w:val="Virsraksts1Rakstz"/>
                <w:rFonts w:cs="Times New Roman"/>
                <w:b w:val="0"/>
                <w:sz w:val="20"/>
                <w:szCs w:val="20"/>
                <w:lang w:val="lv-LV"/>
              </w:rPr>
              <w:t xml:space="preserve">, </w:t>
            </w:r>
            <w:proofErr w:type="spellStart"/>
            <w:r w:rsidRPr="00846115">
              <w:rPr>
                <w:rStyle w:val="Virsraksts1Rakstz"/>
                <w:rFonts w:cs="Times New Roman"/>
                <w:b w:val="0"/>
                <w:sz w:val="20"/>
                <w:szCs w:val="20"/>
                <w:lang w:val="lv-LV"/>
              </w:rPr>
              <w:t>Inc</w:t>
            </w:r>
            <w:proofErr w:type="spellEnd"/>
            <w:r w:rsidRPr="00846115">
              <w:rPr>
                <w:rStyle w:val="Virsraksts1Rakstz"/>
                <w:rFonts w:cs="Times New Roman"/>
                <w:b w:val="0"/>
                <w:sz w:val="20"/>
                <w:szCs w:val="20"/>
                <w:lang w:val="lv-LV"/>
              </w:rPr>
              <w:t xml:space="preserve"> ziņojumu, globālais viedo materiālu tirgus apjoms līdz 2025. gadam sasniegs 98,2 miljardus ASV dolāru. Jau šobrīd plašas pētniecības un inovācijas aktivitātes ir paplašinājušas viedo materiālu rūpnieciskos pielietojumus. Tiek prognozēts, ka turpmāko gadu laikā pieprasījums tiks palielināts, izmantojot viedās piedziņas ierīces, dzinējus, sensorus un strukturālos materiālus. Pēdējos gados arī Latvijas ražotāji ir vairāk pievērsušies investīcijām šo materiālu izstrādē. Īpaši tas ir vērojams celtniecības, medicīnas un pat militārās rūpniecības nozarēs.</w:t>
            </w:r>
          </w:p>
        </w:tc>
        <w:tc>
          <w:tcPr>
            <w:tcW w:w="1705" w:type="dxa"/>
          </w:tcPr>
          <w:p w14:paraId="60714C81" w14:textId="77777777" w:rsidR="00846115" w:rsidRPr="007F29D1" w:rsidRDefault="00846115" w:rsidP="00846115">
            <w:pPr>
              <w:jc w:val="both"/>
              <w:rPr>
                <w:rStyle w:val="Virsraksts1Rakstz"/>
                <w:rFonts w:cs="Times New Roman"/>
                <w:b w:val="0"/>
                <w:sz w:val="20"/>
                <w:szCs w:val="20"/>
                <w:lang w:val="lv-LV"/>
              </w:rPr>
            </w:pPr>
            <w:r>
              <w:rPr>
                <w:rStyle w:val="Virsraksts1Rakstz"/>
                <w:rFonts w:cs="Times New Roman"/>
                <w:b w:val="0"/>
                <w:sz w:val="20"/>
                <w:szCs w:val="20"/>
                <w:lang w:val="lv-LV"/>
              </w:rPr>
              <w:lastRenderedPageBreak/>
              <w:t>P</w:t>
            </w:r>
            <w:r w:rsidRPr="007F29D1">
              <w:rPr>
                <w:rStyle w:val="Virsraksts1Rakstz"/>
                <w:rFonts w:cs="Times New Roman"/>
                <w:b w:val="0"/>
                <w:sz w:val="20"/>
                <w:szCs w:val="20"/>
                <w:lang w:val="lv-LV"/>
              </w:rPr>
              <w:t xml:space="preserve">ētniecības projektu </w:t>
            </w:r>
            <w:r>
              <w:rPr>
                <w:rStyle w:val="Virsraksts1Rakstz"/>
                <w:rFonts w:cs="Times New Roman"/>
                <w:b w:val="0"/>
                <w:sz w:val="20"/>
                <w:szCs w:val="20"/>
                <w:lang w:val="lv-LV"/>
              </w:rPr>
              <w:t xml:space="preserve">atlase un </w:t>
            </w:r>
            <w:r w:rsidRPr="007F29D1">
              <w:rPr>
                <w:rStyle w:val="Virsraksts1Rakstz"/>
                <w:rFonts w:cs="Times New Roman"/>
                <w:b w:val="0"/>
                <w:sz w:val="20"/>
                <w:szCs w:val="20"/>
                <w:lang w:val="lv-LV"/>
              </w:rPr>
              <w:t xml:space="preserve">īstenošana </w:t>
            </w:r>
          </w:p>
          <w:p w14:paraId="461DD3B8" w14:textId="77777777" w:rsidR="00846115" w:rsidRPr="001B4029" w:rsidRDefault="00846115" w:rsidP="00846115">
            <w:pPr>
              <w:jc w:val="both"/>
              <w:rPr>
                <w:rStyle w:val="Virsraksts1Rakstz"/>
                <w:rFonts w:cs="Times New Roman"/>
                <w:b w:val="0"/>
                <w:sz w:val="20"/>
                <w:szCs w:val="20"/>
                <w:lang w:val="lv-LV"/>
              </w:rPr>
            </w:pPr>
          </w:p>
        </w:tc>
        <w:tc>
          <w:tcPr>
            <w:tcW w:w="1830" w:type="dxa"/>
          </w:tcPr>
          <w:p w14:paraId="592507CA" w14:textId="7590E4B3" w:rsidR="00846115" w:rsidRPr="001B4029" w:rsidRDefault="00846115" w:rsidP="00846115">
            <w:pPr>
              <w:jc w:val="both"/>
              <w:rPr>
                <w:rStyle w:val="Virsraksts1Rakstz"/>
                <w:rFonts w:cs="Times New Roman"/>
                <w:b w:val="0"/>
                <w:sz w:val="20"/>
                <w:szCs w:val="20"/>
                <w:lang w:val="lv-LV"/>
              </w:rPr>
            </w:pPr>
            <w:r>
              <w:rPr>
                <w:rStyle w:val="Virsraksts1Rakstz"/>
                <w:rFonts w:cs="Times New Roman"/>
                <w:b w:val="0"/>
                <w:sz w:val="20"/>
                <w:szCs w:val="20"/>
                <w:lang w:val="lv-LV"/>
              </w:rPr>
              <w:t>Pētniecības projektos</w:t>
            </w:r>
            <w:r w:rsidRPr="007F29D1">
              <w:rPr>
                <w:rStyle w:val="Virsraksts1Rakstz"/>
                <w:rFonts w:cs="Times New Roman"/>
                <w:b w:val="0"/>
                <w:sz w:val="20"/>
                <w:szCs w:val="20"/>
                <w:lang w:val="lv-LV"/>
              </w:rPr>
              <w:t xml:space="preserve"> p</w:t>
            </w:r>
            <w:r>
              <w:rPr>
                <w:rStyle w:val="Virsraksts1Rakstz"/>
                <w:rFonts w:cs="Times New Roman"/>
                <w:b w:val="0"/>
                <w:sz w:val="20"/>
                <w:szCs w:val="20"/>
                <w:lang w:val="lv-LV"/>
              </w:rPr>
              <w:t>aredzēto rezultātu sasniegšana</w:t>
            </w:r>
          </w:p>
        </w:tc>
      </w:tr>
      <w:tr w:rsidR="009C04DD" w:rsidRPr="001B4029" w14:paraId="04C23F78" w14:textId="77777777" w:rsidTr="009C04DD">
        <w:trPr>
          <w:trHeight w:val="236"/>
        </w:trPr>
        <w:tc>
          <w:tcPr>
            <w:tcW w:w="2252" w:type="dxa"/>
          </w:tcPr>
          <w:p w14:paraId="4677B012" w14:textId="0D1F1C64" w:rsidR="009C04DD" w:rsidRPr="001B4029" w:rsidRDefault="009C04DD" w:rsidP="009C04DD">
            <w:pPr>
              <w:jc w:val="both"/>
              <w:rPr>
                <w:rStyle w:val="Virsraksts1Rakstz"/>
                <w:rFonts w:cs="Times New Roman"/>
                <w:b w:val="0"/>
                <w:szCs w:val="20"/>
                <w:lang w:val="lv-LV"/>
              </w:rPr>
            </w:pPr>
            <w:r w:rsidRPr="001B4029">
              <w:rPr>
                <w:rStyle w:val="Virsraksts1Rakstz"/>
                <w:rFonts w:cs="Times New Roman"/>
                <w:b w:val="0"/>
                <w:szCs w:val="20"/>
                <w:lang w:val="lv-LV"/>
              </w:rPr>
              <w:t>Transporta tehnoloģijas</w:t>
            </w:r>
          </w:p>
        </w:tc>
        <w:tc>
          <w:tcPr>
            <w:tcW w:w="3563" w:type="dxa"/>
          </w:tcPr>
          <w:p w14:paraId="0379934A" w14:textId="2F5BD0C4" w:rsidR="009C04DD" w:rsidRPr="00846115" w:rsidRDefault="009C04DD" w:rsidP="009C04DD">
            <w:pPr>
              <w:jc w:val="both"/>
              <w:rPr>
                <w:rStyle w:val="Virsraksts1Rakstz"/>
                <w:rFonts w:cs="Times New Roman"/>
                <w:b w:val="0"/>
                <w:sz w:val="20"/>
                <w:szCs w:val="20"/>
                <w:lang w:val="lv-LV"/>
              </w:rPr>
            </w:pPr>
            <w:r>
              <w:rPr>
                <w:rStyle w:val="Virsraksts1Rakstz"/>
                <w:rFonts w:cs="Times New Roman"/>
                <w:b w:val="0"/>
                <w:sz w:val="20"/>
                <w:szCs w:val="20"/>
                <w:lang w:val="lv-LV"/>
              </w:rPr>
              <w:t>Transporta jomā vērojama e</w:t>
            </w:r>
            <w:r w:rsidRPr="00846115">
              <w:rPr>
                <w:rStyle w:val="Virsraksts1Rakstz"/>
                <w:rFonts w:cs="Times New Roman"/>
                <w:b w:val="0"/>
                <w:sz w:val="20"/>
                <w:szCs w:val="20"/>
                <w:lang w:val="lv-LV"/>
              </w:rPr>
              <w:t>nergoefektīvu un dab</w:t>
            </w:r>
            <w:r>
              <w:rPr>
                <w:rStyle w:val="Virsraksts1Rakstz"/>
                <w:rFonts w:cs="Times New Roman"/>
                <w:b w:val="0"/>
                <w:sz w:val="20"/>
                <w:szCs w:val="20"/>
                <w:lang w:val="lv-LV"/>
              </w:rPr>
              <w:t>ai draudzīgu tehnoloģiju strauja attīstība</w:t>
            </w:r>
            <w:r w:rsidRPr="00846115">
              <w:rPr>
                <w:rStyle w:val="Virsraksts1Rakstz"/>
                <w:rFonts w:cs="Times New Roman"/>
                <w:b w:val="0"/>
                <w:sz w:val="20"/>
                <w:szCs w:val="20"/>
                <w:lang w:val="lv-LV"/>
              </w:rPr>
              <w:t>. Komplektējošo daļu un materiālu pieprasījuma pieaugumu turpmākajos gados strauji veicinās pieaugošais pieprasījums pēc galaproduktiem. Tādēļ tirgus potenciāls produktiem un tehnoloģijām šajā virzienā vairākas reizes pārsniedz nozares vidējos rādītājus. Visa veida bezpilota transporta sistēmas ir viens no straujāk augošajiem augst</w:t>
            </w:r>
            <w:r>
              <w:rPr>
                <w:rStyle w:val="Virsraksts1Rakstz"/>
                <w:rFonts w:cs="Times New Roman"/>
                <w:b w:val="0"/>
                <w:sz w:val="20"/>
                <w:szCs w:val="20"/>
                <w:lang w:val="lv-LV"/>
              </w:rPr>
              <w:t>o tehnoloģiju sektoriem pasaulē</w:t>
            </w:r>
            <w:r w:rsidRPr="00846115">
              <w:rPr>
                <w:rStyle w:val="Virsraksts1Rakstz"/>
                <w:rFonts w:cs="Times New Roman"/>
                <w:b w:val="0"/>
                <w:sz w:val="20"/>
                <w:szCs w:val="20"/>
                <w:lang w:val="lv-LV"/>
              </w:rPr>
              <w:t xml:space="preserve">. </w:t>
            </w:r>
          </w:p>
          <w:p w14:paraId="6A1427FE" w14:textId="77777777" w:rsidR="009C04DD" w:rsidRPr="00846115" w:rsidRDefault="009C04DD" w:rsidP="009C04DD">
            <w:pPr>
              <w:jc w:val="both"/>
              <w:rPr>
                <w:rStyle w:val="Virsraksts1Rakstz"/>
                <w:rFonts w:cs="Times New Roman"/>
                <w:b w:val="0"/>
                <w:sz w:val="20"/>
                <w:szCs w:val="20"/>
                <w:lang w:val="lv-LV"/>
              </w:rPr>
            </w:pPr>
          </w:p>
          <w:p w14:paraId="78AA8A76" w14:textId="65CF192D" w:rsidR="009C04DD" w:rsidRPr="001B4029" w:rsidRDefault="009C04DD" w:rsidP="009C04DD">
            <w:pPr>
              <w:jc w:val="both"/>
              <w:rPr>
                <w:rStyle w:val="Virsraksts1Rakstz"/>
                <w:rFonts w:cs="Times New Roman"/>
                <w:b w:val="0"/>
                <w:sz w:val="20"/>
                <w:szCs w:val="20"/>
                <w:lang w:val="lv-LV"/>
              </w:rPr>
            </w:pPr>
            <w:r w:rsidRPr="00846115">
              <w:rPr>
                <w:rStyle w:val="Virsraksts1Rakstz"/>
                <w:rFonts w:cs="Times New Roman"/>
                <w:b w:val="0"/>
                <w:sz w:val="20"/>
                <w:szCs w:val="20"/>
                <w:lang w:val="lv-LV"/>
              </w:rPr>
              <w:t>Papildus tam transporta sistēmas ir būtisku pārmaiņu priekšā, un tās tiks panāktas ar Inteliģentajām transporta sistēmām (ITS). Satiksmes un iedzīvotāju skaita pieaugums rada pieprasījumu pēc lielākas transporta infrastruktūras, taču daudzās vietās nav pietiekami daudz pieejamo investīciju, vietas vai ir pārāk augsts piesārņojums, lai izveidotu vairāk ceļu un dzelzceļu. Lai risinātu šīs problēmas</w:t>
            </w:r>
            <w:r>
              <w:rPr>
                <w:rStyle w:val="Virsraksts1Rakstz"/>
                <w:rFonts w:cs="Times New Roman"/>
                <w:b w:val="0"/>
                <w:sz w:val="20"/>
                <w:szCs w:val="20"/>
                <w:lang w:val="lv-LV"/>
              </w:rPr>
              <w:t>,</w:t>
            </w:r>
            <w:r w:rsidRPr="00846115">
              <w:rPr>
                <w:rStyle w:val="Virsraksts1Rakstz"/>
                <w:rFonts w:cs="Times New Roman"/>
                <w:b w:val="0"/>
                <w:sz w:val="20"/>
                <w:szCs w:val="20"/>
                <w:lang w:val="lv-LV"/>
              </w:rPr>
              <w:t xml:space="preserve"> ir jāattīsta tehnoloģijas, kas saistītas</w:t>
            </w:r>
            <w:r>
              <w:rPr>
                <w:rStyle w:val="Virsraksts1Rakstz"/>
                <w:rFonts w:cs="Times New Roman"/>
                <w:b w:val="0"/>
                <w:sz w:val="20"/>
                <w:szCs w:val="20"/>
                <w:lang w:val="lv-LV"/>
              </w:rPr>
              <w:t xml:space="preserve"> ar</w:t>
            </w:r>
            <w:r w:rsidRPr="00846115">
              <w:rPr>
                <w:rStyle w:val="Virsraksts1Rakstz"/>
                <w:rFonts w:cs="Times New Roman"/>
                <w:b w:val="0"/>
                <w:sz w:val="20"/>
                <w:szCs w:val="20"/>
                <w:lang w:val="lv-LV"/>
              </w:rPr>
              <w:t xml:space="preserve"> autonomo transportu, alternatīvajām degvielām, automatizētām flotes vadības un satiksmes analīzes metodēm. Šīs jaunās tehnoloģijas ceļu satiksmei </w:t>
            </w:r>
            <w:r w:rsidRPr="00846115">
              <w:rPr>
                <w:rStyle w:val="Virsraksts1Rakstz"/>
                <w:rFonts w:cs="Times New Roman"/>
                <w:b w:val="0"/>
                <w:sz w:val="20"/>
                <w:szCs w:val="20"/>
                <w:lang w:val="lv-LV"/>
              </w:rPr>
              <w:lastRenderedPageBreak/>
              <w:t>radikāli mainīs veidu, kā darbojas transportlīdzekļi, kā arī pavērs iespējas labākai satiksmes vadībai reālajā laikā.</w:t>
            </w:r>
          </w:p>
        </w:tc>
        <w:tc>
          <w:tcPr>
            <w:tcW w:w="1705" w:type="dxa"/>
          </w:tcPr>
          <w:p w14:paraId="706BB3F2" w14:textId="77777777" w:rsidR="009C04DD" w:rsidRPr="007F29D1" w:rsidRDefault="009C04DD" w:rsidP="009C04DD">
            <w:pPr>
              <w:jc w:val="both"/>
              <w:rPr>
                <w:rStyle w:val="Virsraksts1Rakstz"/>
                <w:rFonts w:cs="Times New Roman"/>
                <w:b w:val="0"/>
                <w:sz w:val="20"/>
                <w:szCs w:val="20"/>
                <w:lang w:val="lv-LV"/>
              </w:rPr>
            </w:pPr>
            <w:r>
              <w:rPr>
                <w:rStyle w:val="Virsraksts1Rakstz"/>
                <w:rFonts w:cs="Times New Roman"/>
                <w:b w:val="0"/>
                <w:sz w:val="20"/>
                <w:szCs w:val="20"/>
                <w:lang w:val="lv-LV"/>
              </w:rPr>
              <w:lastRenderedPageBreak/>
              <w:t>P</w:t>
            </w:r>
            <w:r w:rsidRPr="007F29D1">
              <w:rPr>
                <w:rStyle w:val="Virsraksts1Rakstz"/>
                <w:rFonts w:cs="Times New Roman"/>
                <w:b w:val="0"/>
                <w:sz w:val="20"/>
                <w:szCs w:val="20"/>
                <w:lang w:val="lv-LV"/>
              </w:rPr>
              <w:t xml:space="preserve">ētniecības projektu </w:t>
            </w:r>
            <w:r>
              <w:rPr>
                <w:rStyle w:val="Virsraksts1Rakstz"/>
                <w:rFonts w:cs="Times New Roman"/>
                <w:b w:val="0"/>
                <w:sz w:val="20"/>
                <w:szCs w:val="20"/>
                <w:lang w:val="lv-LV"/>
              </w:rPr>
              <w:t xml:space="preserve">atlase un </w:t>
            </w:r>
            <w:r w:rsidRPr="007F29D1">
              <w:rPr>
                <w:rStyle w:val="Virsraksts1Rakstz"/>
                <w:rFonts w:cs="Times New Roman"/>
                <w:b w:val="0"/>
                <w:sz w:val="20"/>
                <w:szCs w:val="20"/>
                <w:lang w:val="lv-LV"/>
              </w:rPr>
              <w:t xml:space="preserve">īstenošana </w:t>
            </w:r>
          </w:p>
          <w:p w14:paraId="418ECE99" w14:textId="77777777" w:rsidR="009C04DD" w:rsidRPr="001B4029" w:rsidRDefault="009C04DD" w:rsidP="009C04DD">
            <w:pPr>
              <w:jc w:val="both"/>
              <w:rPr>
                <w:rStyle w:val="Virsraksts1Rakstz"/>
                <w:rFonts w:cs="Times New Roman"/>
                <w:b w:val="0"/>
                <w:sz w:val="20"/>
                <w:szCs w:val="20"/>
                <w:lang w:val="lv-LV"/>
              </w:rPr>
            </w:pPr>
          </w:p>
        </w:tc>
        <w:tc>
          <w:tcPr>
            <w:tcW w:w="1830" w:type="dxa"/>
          </w:tcPr>
          <w:p w14:paraId="6DB99CD3" w14:textId="6EE3518F" w:rsidR="009C04DD" w:rsidRPr="001B4029" w:rsidRDefault="009C04DD" w:rsidP="009C04DD">
            <w:pPr>
              <w:jc w:val="both"/>
              <w:rPr>
                <w:rStyle w:val="Virsraksts1Rakstz"/>
                <w:rFonts w:cs="Times New Roman"/>
                <w:b w:val="0"/>
                <w:sz w:val="20"/>
                <w:szCs w:val="20"/>
                <w:lang w:val="lv-LV"/>
              </w:rPr>
            </w:pPr>
            <w:r>
              <w:rPr>
                <w:rStyle w:val="Virsraksts1Rakstz"/>
                <w:rFonts w:cs="Times New Roman"/>
                <w:b w:val="0"/>
                <w:sz w:val="20"/>
                <w:szCs w:val="20"/>
                <w:lang w:val="lv-LV"/>
              </w:rPr>
              <w:t>Pētniecības projektos</w:t>
            </w:r>
            <w:r w:rsidRPr="007F29D1">
              <w:rPr>
                <w:rStyle w:val="Virsraksts1Rakstz"/>
                <w:rFonts w:cs="Times New Roman"/>
                <w:b w:val="0"/>
                <w:sz w:val="20"/>
                <w:szCs w:val="20"/>
                <w:lang w:val="lv-LV"/>
              </w:rPr>
              <w:t xml:space="preserve"> p</w:t>
            </w:r>
            <w:r>
              <w:rPr>
                <w:rStyle w:val="Virsraksts1Rakstz"/>
                <w:rFonts w:cs="Times New Roman"/>
                <w:b w:val="0"/>
                <w:sz w:val="20"/>
                <w:szCs w:val="20"/>
                <w:lang w:val="lv-LV"/>
              </w:rPr>
              <w:t>aredzēto rezultātu sasniegšana</w:t>
            </w:r>
          </w:p>
        </w:tc>
      </w:tr>
      <w:tr w:rsidR="009C04DD" w:rsidRPr="001B4029" w14:paraId="17A8CBB7" w14:textId="77777777" w:rsidTr="003F48B2">
        <w:tc>
          <w:tcPr>
            <w:tcW w:w="9350" w:type="dxa"/>
            <w:gridSpan w:val="4"/>
            <w:shd w:val="clear" w:color="auto" w:fill="D9D9D9" w:themeFill="background1" w:themeFillShade="D9"/>
          </w:tcPr>
          <w:p w14:paraId="6B3E407D" w14:textId="77777777" w:rsidR="009C04DD" w:rsidRPr="001B4029" w:rsidRDefault="009C04DD" w:rsidP="009C04DD">
            <w:pPr>
              <w:pStyle w:val="Sarakstarindkopa"/>
              <w:numPr>
                <w:ilvl w:val="0"/>
                <w:numId w:val="4"/>
              </w:numPr>
              <w:ind w:left="451"/>
              <w:jc w:val="both"/>
              <w:rPr>
                <w:bCs/>
                <w:lang w:val="lv-LV"/>
              </w:rPr>
            </w:pPr>
            <w:r w:rsidRPr="001B4029">
              <w:rPr>
                <w:bCs/>
                <w:lang w:val="lv-LV"/>
              </w:rPr>
              <w:t xml:space="preserve">Ekosistēmas attīstība </w:t>
            </w:r>
          </w:p>
          <w:p w14:paraId="5C4329D6" w14:textId="41F4ED4A" w:rsidR="009C04DD" w:rsidRPr="001B4029" w:rsidRDefault="009C04DD" w:rsidP="009C04DD">
            <w:pPr>
              <w:jc w:val="both"/>
              <w:rPr>
                <w:rFonts w:ascii="Times New Roman" w:hAnsi="Times New Roman" w:cs="Times New Roman"/>
                <w:sz w:val="24"/>
                <w:szCs w:val="24"/>
                <w:lang w:val="lv-LV"/>
              </w:rPr>
            </w:pPr>
            <w:r w:rsidRPr="001B4029">
              <w:rPr>
                <w:rFonts w:ascii="Times New Roman" w:hAnsi="Times New Roman" w:cs="Times New Roman"/>
                <w:bCs/>
                <w:i/>
                <w:iCs/>
                <w:sz w:val="24"/>
                <w:szCs w:val="24"/>
                <w:lang w:val="lv-LV"/>
              </w:rPr>
              <w:t xml:space="preserve">(raksturo sadarbību par </w:t>
            </w:r>
            <w:r w:rsidRPr="001B4029">
              <w:rPr>
                <w:rFonts w:ascii="Times New Roman" w:hAnsi="Times New Roman" w:cs="Times New Roman"/>
                <w:i/>
                <w:iCs/>
                <w:sz w:val="24"/>
                <w:szCs w:val="24"/>
                <w:lang w:val="lv-LV"/>
              </w:rPr>
              <w:t xml:space="preserve">viedās specializācijas stratēģijas </w:t>
            </w:r>
            <w:r w:rsidRPr="001B4029">
              <w:rPr>
                <w:rFonts w:ascii="Times New Roman" w:hAnsi="Times New Roman" w:cs="Times New Roman"/>
                <w:bCs/>
                <w:i/>
                <w:iCs/>
                <w:sz w:val="24"/>
                <w:szCs w:val="24"/>
                <w:lang w:val="lv-LV"/>
              </w:rPr>
              <w:t>jomas attīstību ar citiem finansējuma saņēmējiem un institūcijām)</w:t>
            </w:r>
          </w:p>
        </w:tc>
      </w:tr>
      <w:tr w:rsidR="009C04DD" w:rsidRPr="001B4029" w14:paraId="2D319561" w14:textId="77777777" w:rsidTr="003F48B2">
        <w:tc>
          <w:tcPr>
            <w:tcW w:w="9350" w:type="dxa"/>
            <w:gridSpan w:val="4"/>
          </w:tcPr>
          <w:p w14:paraId="3FB7A339" w14:textId="2E9C5A54" w:rsidR="00F20978" w:rsidRPr="00F20978" w:rsidRDefault="00F20978" w:rsidP="00F20978">
            <w:pPr>
              <w:jc w:val="both"/>
              <w:rPr>
                <w:rFonts w:ascii="Times New Roman" w:hAnsi="Times New Roman" w:cs="Times New Roman"/>
                <w:bCs/>
                <w:sz w:val="24"/>
                <w:szCs w:val="24"/>
                <w:lang w:val="lv-LV"/>
              </w:rPr>
            </w:pPr>
            <w:r w:rsidRPr="00F20978">
              <w:rPr>
                <w:rFonts w:ascii="Times New Roman" w:hAnsi="Times New Roman" w:cs="Times New Roman"/>
                <w:bCs/>
                <w:sz w:val="24"/>
                <w:szCs w:val="24"/>
                <w:lang w:val="lv-LV"/>
              </w:rPr>
              <w:t>Mašīnbūves kompetences centra projekta īstenošana tiks veikta ciešā sasaistē un sinerģijā ar citām MASOC aktivitātēm un projektiem.</w:t>
            </w:r>
            <w:r>
              <w:rPr>
                <w:rFonts w:ascii="Times New Roman" w:hAnsi="Times New Roman" w:cs="Times New Roman"/>
                <w:bCs/>
                <w:sz w:val="24"/>
                <w:szCs w:val="24"/>
                <w:lang w:val="lv-LV"/>
              </w:rPr>
              <w:t xml:space="preserve"> </w:t>
            </w:r>
            <w:r w:rsidRPr="00F20978">
              <w:rPr>
                <w:rFonts w:ascii="Times New Roman" w:hAnsi="Times New Roman" w:cs="Times New Roman"/>
                <w:bCs/>
                <w:sz w:val="24"/>
                <w:szCs w:val="24"/>
                <w:lang w:val="lv-LV"/>
              </w:rPr>
              <w:t>MASOC kopējā sadarbības tīkla un atsevišķu projektu ietvaros veiktās kontaktu veidošanas, tīklošanās un zināšanu pārneses aktivitātes sekmēs Kompetences centra pētniecības projektu īstenošanu, sniedzot atbalstu sadarbības partneru piesaistē un jaunu sadarbības formu izveidē.</w:t>
            </w:r>
          </w:p>
          <w:p w14:paraId="02FDA0B8" w14:textId="77777777" w:rsidR="00F20978" w:rsidRPr="00F20978" w:rsidRDefault="00F20978" w:rsidP="00F20978">
            <w:pPr>
              <w:jc w:val="both"/>
              <w:rPr>
                <w:rFonts w:ascii="Times New Roman" w:hAnsi="Times New Roman" w:cs="Times New Roman"/>
                <w:bCs/>
                <w:sz w:val="24"/>
                <w:szCs w:val="24"/>
                <w:lang w:val="lv-LV"/>
              </w:rPr>
            </w:pPr>
            <w:r w:rsidRPr="00F20978">
              <w:rPr>
                <w:rFonts w:ascii="Times New Roman" w:hAnsi="Times New Roman" w:cs="Times New Roman"/>
                <w:bCs/>
                <w:sz w:val="24"/>
                <w:szCs w:val="24"/>
                <w:lang w:val="lv-LV"/>
              </w:rPr>
              <w:t xml:space="preserve">Papildus tiks tālāk attīstīta aizsāktā sadarbība ar citu nozaru organizācijām un uzņēmumu apvienībām – LIKTA un IT klasteri jautājumos par </w:t>
            </w:r>
            <w:proofErr w:type="spellStart"/>
            <w:r w:rsidRPr="00F20978">
              <w:rPr>
                <w:rFonts w:ascii="Times New Roman" w:hAnsi="Times New Roman" w:cs="Times New Roman"/>
                <w:bCs/>
                <w:sz w:val="24"/>
                <w:szCs w:val="24"/>
                <w:lang w:val="lv-LV"/>
              </w:rPr>
              <w:t>digitalizācijas</w:t>
            </w:r>
            <w:proofErr w:type="spellEnd"/>
            <w:r w:rsidRPr="00F20978">
              <w:rPr>
                <w:rFonts w:ascii="Times New Roman" w:hAnsi="Times New Roman" w:cs="Times New Roman"/>
                <w:bCs/>
                <w:sz w:val="24"/>
                <w:szCs w:val="24"/>
                <w:lang w:val="lv-LV"/>
              </w:rPr>
              <w:t xml:space="preserve"> risinājumu ieviešanu, </w:t>
            </w:r>
            <w:proofErr w:type="spellStart"/>
            <w:r w:rsidRPr="00F20978">
              <w:rPr>
                <w:rFonts w:ascii="Times New Roman" w:hAnsi="Times New Roman" w:cs="Times New Roman"/>
                <w:bCs/>
                <w:sz w:val="24"/>
                <w:szCs w:val="24"/>
                <w:lang w:val="lv-LV"/>
              </w:rPr>
              <w:t>Industry</w:t>
            </w:r>
            <w:proofErr w:type="spellEnd"/>
            <w:r w:rsidRPr="00F20978">
              <w:rPr>
                <w:rFonts w:ascii="Times New Roman" w:hAnsi="Times New Roman" w:cs="Times New Roman"/>
                <w:bCs/>
                <w:sz w:val="24"/>
                <w:szCs w:val="24"/>
                <w:lang w:val="lv-LV"/>
              </w:rPr>
              <w:t xml:space="preserve"> 4.0 koncepcijas attīstību, kā arī citu nozaru organizācijām, kuras pārstāv uzņēmumus, kuri ir Kompetences centra ietvaros radīto produktu gala lietotāji. </w:t>
            </w:r>
          </w:p>
          <w:p w14:paraId="09067238" w14:textId="570B729B" w:rsidR="00F20978" w:rsidRPr="00F20978" w:rsidRDefault="00F20978" w:rsidP="00F20978">
            <w:pPr>
              <w:jc w:val="both"/>
              <w:rPr>
                <w:rFonts w:ascii="Times New Roman" w:hAnsi="Times New Roman" w:cs="Times New Roman"/>
                <w:bCs/>
                <w:sz w:val="24"/>
                <w:szCs w:val="24"/>
                <w:lang w:val="lv-LV"/>
              </w:rPr>
            </w:pPr>
            <w:r w:rsidRPr="00F20978">
              <w:rPr>
                <w:rFonts w:ascii="Times New Roman" w:hAnsi="Times New Roman" w:cs="Times New Roman"/>
                <w:bCs/>
                <w:sz w:val="24"/>
                <w:szCs w:val="24"/>
                <w:lang w:val="lv-LV"/>
              </w:rPr>
              <w:t>Sadarbībā ar citu nozaru kompetences centriem un uzņēmumu apvienībām regulāri tiek organizēti informatīvi, pieredzes apmaiņas un tīklošanās pasākumi, un šī prakse tiks turpināta un tālāk attīstīta.</w:t>
            </w:r>
          </w:p>
          <w:p w14:paraId="516E5AB8" w14:textId="20AAA3FF" w:rsidR="00F20978" w:rsidRPr="00F20978" w:rsidRDefault="00F20978" w:rsidP="00F20978">
            <w:pPr>
              <w:spacing w:line="276" w:lineRule="auto"/>
              <w:jc w:val="both"/>
              <w:rPr>
                <w:rFonts w:ascii="Times New Roman" w:hAnsi="Times New Roman" w:cs="Times New Roman"/>
                <w:sz w:val="24"/>
                <w:szCs w:val="24"/>
                <w:lang w:val="lv-LV" w:eastAsia="lv-LV"/>
              </w:rPr>
            </w:pPr>
            <w:r w:rsidRPr="00F20978">
              <w:rPr>
                <w:rFonts w:ascii="Times New Roman" w:hAnsi="Times New Roman" w:cs="Times New Roman"/>
                <w:sz w:val="24"/>
                <w:szCs w:val="24"/>
                <w:lang w:val="lv-LV" w:eastAsia="lv-LV"/>
              </w:rPr>
              <w:t xml:space="preserve">Starptautiskā mērogā tiks turpināta </w:t>
            </w:r>
            <w:r>
              <w:rPr>
                <w:rFonts w:ascii="Times New Roman" w:hAnsi="Times New Roman" w:cs="Times New Roman"/>
                <w:sz w:val="24"/>
                <w:szCs w:val="24"/>
                <w:lang w:val="lv-LV" w:eastAsia="lv-LV"/>
              </w:rPr>
              <w:t>Kompetences centra</w:t>
            </w:r>
            <w:r w:rsidRPr="00F20978">
              <w:rPr>
                <w:rFonts w:ascii="Times New Roman" w:hAnsi="Times New Roman" w:cs="Times New Roman"/>
                <w:sz w:val="24"/>
                <w:szCs w:val="24"/>
                <w:lang w:val="lv-LV" w:eastAsia="lv-LV"/>
              </w:rPr>
              <w:t xml:space="preserve"> pētniecības projektu integrācija MASOC īstenotajos starpvalstu projektos, sekmējot pētījumu rezultātu tālāku pielietojumu, kā arī sniedzot pieeju Eiropas līmeņa zināšanām un sadarbības iespējām.</w:t>
            </w:r>
          </w:p>
          <w:p w14:paraId="119B2342" w14:textId="0C232777" w:rsidR="00F20978" w:rsidRPr="00F20978" w:rsidRDefault="00F20978" w:rsidP="00F20978">
            <w:pPr>
              <w:spacing w:line="276" w:lineRule="auto"/>
              <w:jc w:val="both"/>
              <w:rPr>
                <w:rFonts w:ascii="Times New Roman" w:hAnsi="Times New Roman" w:cs="Times New Roman"/>
                <w:sz w:val="24"/>
                <w:szCs w:val="24"/>
                <w:lang w:val="lv-LV" w:eastAsia="lv-LV"/>
              </w:rPr>
            </w:pPr>
            <w:r w:rsidRPr="00F20978">
              <w:rPr>
                <w:rFonts w:ascii="Times New Roman" w:hAnsi="Times New Roman" w:cs="Times New Roman"/>
                <w:sz w:val="24"/>
                <w:szCs w:val="24"/>
                <w:lang w:val="lv-LV" w:eastAsia="lv-LV"/>
              </w:rPr>
              <w:t xml:space="preserve">Viens no ambiciozākajiem projektiem ir </w:t>
            </w:r>
            <w:r w:rsidRPr="00F20978">
              <w:rPr>
                <w:rFonts w:ascii="Times New Roman" w:hAnsi="Times New Roman" w:cs="Times New Roman"/>
                <w:b/>
                <w:bCs/>
                <w:sz w:val="24"/>
                <w:szCs w:val="24"/>
                <w:lang w:val="lv-LV" w:eastAsia="lv-LV"/>
              </w:rPr>
              <w:t>ADMA Trans4Mers</w:t>
            </w:r>
            <w:r w:rsidRPr="00F20978">
              <w:rPr>
                <w:rFonts w:ascii="Times New Roman" w:hAnsi="Times New Roman" w:cs="Times New Roman"/>
                <w:sz w:val="24"/>
                <w:szCs w:val="24"/>
                <w:lang w:val="lv-LV" w:eastAsia="lv-LV"/>
              </w:rPr>
              <w:t xml:space="preserve"> (</w:t>
            </w:r>
            <w:hyperlink r:id="rId9" w:history="1">
              <w:r w:rsidRPr="00F20978">
                <w:rPr>
                  <w:rStyle w:val="Hipersaite"/>
                  <w:rFonts w:ascii="Times New Roman" w:hAnsi="Times New Roman" w:cs="Times New Roman"/>
                  <w:sz w:val="24"/>
                  <w:szCs w:val="24"/>
                  <w:lang w:val="lv-LV" w:eastAsia="lv-LV"/>
                </w:rPr>
                <w:t>https://trans4mers.eu/</w:t>
              </w:r>
            </w:hyperlink>
            <w:r w:rsidRPr="00F20978">
              <w:rPr>
                <w:rFonts w:ascii="Times New Roman" w:hAnsi="Times New Roman" w:cs="Times New Roman"/>
                <w:sz w:val="24"/>
                <w:szCs w:val="24"/>
                <w:lang w:val="lv-LV" w:eastAsia="lv-LV"/>
              </w:rPr>
              <w:t xml:space="preserve"> ) (</w:t>
            </w:r>
            <w:proofErr w:type="spellStart"/>
            <w:r w:rsidRPr="00F20978">
              <w:rPr>
                <w:rFonts w:ascii="Times New Roman" w:hAnsi="Times New Roman" w:cs="Times New Roman"/>
                <w:i/>
                <w:iCs/>
                <w:sz w:val="24"/>
                <w:szCs w:val="24"/>
                <w:lang w:val="lv-LV" w:eastAsia="lv-LV"/>
              </w:rPr>
              <w:t>European</w:t>
            </w:r>
            <w:proofErr w:type="spellEnd"/>
            <w:r w:rsidRPr="00F20978">
              <w:rPr>
                <w:rFonts w:ascii="Times New Roman" w:hAnsi="Times New Roman" w:cs="Times New Roman"/>
                <w:i/>
                <w:iCs/>
                <w:sz w:val="24"/>
                <w:szCs w:val="24"/>
                <w:lang w:val="lv-LV" w:eastAsia="lv-LV"/>
              </w:rPr>
              <w:t xml:space="preserve"> </w:t>
            </w:r>
            <w:proofErr w:type="spellStart"/>
            <w:r w:rsidRPr="00F20978">
              <w:rPr>
                <w:rFonts w:ascii="Times New Roman" w:hAnsi="Times New Roman" w:cs="Times New Roman"/>
                <w:i/>
                <w:iCs/>
                <w:sz w:val="24"/>
                <w:szCs w:val="24"/>
                <w:lang w:val="lv-LV" w:eastAsia="lv-LV"/>
              </w:rPr>
              <w:t>Union's</w:t>
            </w:r>
            <w:proofErr w:type="spellEnd"/>
            <w:r w:rsidRPr="00F20978">
              <w:rPr>
                <w:rFonts w:ascii="Times New Roman" w:hAnsi="Times New Roman" w:cs="Times New Roman"/>
                <w:i/>
                <w:iCs/>
                <w:sz w:val="24"/>
                <w:szCs w:val="24"/>
                <w:lang w:val="lv-LV" w:eastAsia="lv-LV"/>
              </w:rPr>
              <w:t xml:space="preserve"> H2020-2018-2020 </w:t>
            </w:r>
            <w:proofErr w:type="spellStart"/>
            <w:r w:rsidRPr="00F20978">
              <w:rPr>
                <w:rFonts w:ascii="Times New Roman" w:hAnsi="Times New Roman" w:cs="Times New Roman"/>
                <w:i/>
                <w:iCs/>
                <w:sz w:val="24"/>
                <w:szCs w:val="24"/>
                <w:lang w:val="lv-LV" w:eastAsia="lv-LV"/>
              </w:rPr>
              <w:t>research</w:t>
            </w:r>
            <w:proofErr w:type="spellEnd"/>
            <w:r w:rsidRPr="00F20978">
              <w:rPr>
                <w:rFonts w:ascii="Times New Roman" w:hAnsi="Times New Roman" w:cs="Times New Roman"/>
                <w:i/>
                <w:iCs/>
                <w:sz w:val="24"/>
                <w:szCs w:val="24"/>
                <w:lang w:val="lv-LV" w:eastAsia="lv-LV"/>
              </w:rPr>
              <w:t xml:space="preserve"> and </w:t>
            </w:r>
            <w:proofErr w:type="spellStart"/>
            <w:r w:rsidRPr="00F20978">
              <w:rPr>
                <w:rFonts w:ascii="Times New Roman" w:hAnsi="Times New Roman" w:cs="Times New Roman"/>
                <w:i/>
                <w:iCs/>
                <w:sz w:val="24"/>
                <w:szCs w:val="24"/>
                <w:lang w:val="lv-LV" w:eastAsia="lv-LV"/>
              </w:rPr>
              <w:t>innovation</w:t>
            </w:r>
            <w:proofErr w:type="spellEnd"/>
            <w:r w:rsidRPr="00F20978">
              <w:rPr>
                <w:rFonts w:ascii="Times New Roman" w:hAnsi="Times New Roman" w:cs="Times New Roman"/>
                <w:i/>
                <w:iCs/>
                <w:sz w:val="24"/>
                <w:szCs w:val="24"/>
                <w:lang w:val="lv-LV" w:eastAsia="lv-LV"/>
              </w:rPr>
              <w:t xml:space="preserve"> </w:t>
            </w:r>
            <w:proofErr w:type="spellStart"/>
            <w:r w:rsidRPr="00F20978">
              <w:rPr>
                <w:rFonts w:ascii="Times New Roman" w:hAnsi="Times New Roman" w:cs="Times New Roman"/>
                <w:i/>
                <w:iCs/>
                <w:sz w:val="24"/>
                <w:szCs w:val="24"/>
                <w:lang w:val="lv-LV" w:eastAsia="lv-LV"/>
              </w:rPr>
              <w:t>programme</w:t>
            </w:r>
            <w:proofErr w:type="spellEnd"/>
            <w:r w:rsidRPr="00F20978">
              <w:rPr>
                <w:rFonts w:ascii="Times New Roman" w:hAnsi="Times New Roman" w:cs="Times New Roman"/>
                <w:sz w:val="24"/>
                <w:szCs w:val="24"/>
                <w:lang w:val="lv-LV" w:eastAsia="lv-LV"/>
              </w:rPr>
              <w:t>), kur ir iesaistīti partneri no visām Eiropas valstīm ar mērķi sniegt atbalstu maziem un vidējiem uzņēmumiem progresīvo ražošanas metožu un tehnoloģiju ieviešanā. Projekts tika uzsākts 2021.</w:t>
            </w:r>
            <w:r w:rsidR="005D612F">
              <w:rPr>
                <w:rFonts w:ascii="Times New Roman" w:hAnsi="Times New Roman" w:cs="Times New Roman"/>
                <w:sz w:val="24"/>
                <w:szCs w:val="24"/>
                <w:lang w:val="lv-LV" w:eastAsia="lv-LV"/>
              </w:rPr>
              <w:t xml:space="preserve"> </w:t>
            </w:r>
            <w:r w:rsidRPr="00F20978">
              <w:rPr>
                <w:rFonts w:ascii="Times New Roman" w:hAnsi="Times New Roman" w:cs="Times New Roman"/>
                <w:sz w:val="24"/>
                <w:szCs w:val="24"/>
                <w:lang w:val="lv-LV" w:eastAsia="lv-LV"/>
              </w:rPr>
              <w:t>gada oktobrī un tā mērķis ir veicināt Eiropas ražojošo uzņēmumu transformāciju par “nākotnes rūpnīcām”, ieviešot viedās ražošanas principus un tehnoloģijas. Dalība projektā dod iespēju piekļūt augstākā līmeņa zināšanām un ekspertīzei par visdažādākā veida viedās ražošanas tehnoloģijām. MKC projektu īstenotājiem tas nozīmē gan iespēju piesaistīt potenciālus partnerus un iegūt papildu zināšanas, gan arī potenciāli prezentēt savas kompetences un pētījumu ietvaros radītās iestrādnes.</w:t>
            </w:r>
          </w:p>
          <w:p w14:paraId="07A4495C" w14:textId="1138BF6A" w:rsidR="00F20978" w:rsidRPr="00F20978" w:rsidRDefault="00F20978" w:rsidP="00F20978">
            <w:pPr>
              <w:spacing w:line="276" w:lineRule="auto"/>
              <w:jc w:val="both"/>
              <w:rPr>
                <w:rFonts w:ascii="Times New Roman" w:hAnsi="Times New Roman" w:cs="Times New Roman"/>
                <w:sz w:val="24"/>
                <w:szCs w:val="24"/>
                <w:lang w:val="lv-LV" w:eastAsia="lv-LV"/>
              </w:rPr>
            </w:pPr>
            <w:r w:rsidRPr="00F20978">
              <w:rPr>
                <w:rFonts w:ascii="Times New Roman" w:hAnsi="Times New Roman" w:cs="Times New Roman"/>
                <w:sz w:val="24"/>
                <w:szCs w:val="24"/>
                <w:lang w:val="lv-LV" w:eastAsia="lv-LV"/>
              </w:rPr>
              <w:t xml:space="preserve">MASOC ir iesaistījies kā partneris starptautiskā projektā </w:t>
            </w:r>
            <w:proofErr w:type="spellStart"/>
            <w:r w:rsidRPr="00F20978">
              <w:rPr>
                <w:rFonts w:ascii="Times New Roman" w:hAnsi="Times New Roman" w:cs="Times New Roman"/>
                <w:b/>
                <w:bCs/>
                <w:sz w:val="24"/>
                <w:szCs w:val="24"/>
                <w:lang w:val="lv-LV" w:eastAsia="lv-LV"/>
              </w:rPr>
              <w:t>RestartSMEs</w:t>
            </w:r>
            <w:proofErr w:type="spellEnd"/>
            <w:r w:rsidRPr="00F20978">
              <w:rPr>
                <w:rFonts w:ascii="Times New Roman" w:hAnsi="Times New Roman" w:cs="Times New Roman"/>
                <w:sz w:val="24"/>
                <w:szCs w:val="24"/>
                <w:lang w:val="lv-LV" w:eastAsia="lv-LV"/>
              </w:rPr>
              <w:t xml:space="preserve"> (</w:t>
            </w:r>
            <w:hyperlink r:id="rId10" w:history="1">
              <w:r w:rsidRPr="00F20978">
                <w:rPr>
                  <w:rStyle w:val="Hipersaite"/>
                  <w:rFonts w:ascii="Times New Roman" w:hAnsi="Times New Roman" w:cs="Times New Roman"/>
                  <w:sz w:val="24"/>
                  <w:szCs w:val="24"/>
                  <w:lang w:val="lv-LV" w:eastAsia="lv-LV"/>
                </w:rPr>
                <w:t>https://restartsmes.eu/</w:t>
              </w:r>
            </w:hyperlink>
            <w:r w:rsidRPr="00F20978">
              <w:rPr>
                <w:rFonts w:ascii="Times New Roman" w:hAnsi="Times New Roman" w:cs="Times New Roman"/>
                <w:sz w:val="24"/>
                <w:szCs w:val="24"/>
                <w:lang w:val="lv-LV" w:eastAsia="lv-LV"/>
              </w:rPr>
              <w:t xml:space="preserve"> ). Projektā iesaistīti 15 partneri no dažādām ES valstīm. Projekta mērķis ir veidot saikni starp tehnoloģiju piegādātājiem, tradicionāliem ražošanas uzņēmumiem un atbalsta organizācijām, lai veicinātu pāreju uz </w:t>
            </w:r>
            <w:proofErr w:type="spellStart"/>
            <w:r w:rsidRPr="00F20978">
              <w:rPr>
                <w:rFonts w:ascii="Times New Roman" w:hAnsi="Times New Roman" w:cs="Times New Roman"/>
                <w:sz w:val="24"/>
                <w:szCs w:val="24"/>
                <w:lang w:val="lv-LV" w:eastAsia="lv-LV"/>
              </w:rPr>
              <w:t>Industry</w:t>
            </w:r>
            <w:proofErr w:type="spellEnd"/>
            <w:r w:rsidRPr="00F20978">
              <w:rPr>
                <w:rFonts w:ascii="Times New Roman" w:hAnsi="Times New Roman" w:cs="Times New Roman"/>
                <w:sz w:val="24"/>
                <w:szCs w:val="24"/>
                <w:lang w:val="lv-LV" w:eastAsia="lv-LV"/>
              </w:rPr>
              <w:t xml:space="preserve"> 5.0. Projekta ietvaros tiks veicināta informācijas apmaiņa, organizēti semināri, konferences un </w:t>
            </w:r>
            <w:proofErr w:type="spellStart"/>
            <w:r w:rsidRPr="00F20978">
              <w:rPr>
                <w:rFonts w:ascii="Times New Roman" w:hAnsi="Times New Roman" w:cs="Times New Roman"/>
                <w:sz w:val="24"/>
                <w:szCs w:val="24"/>
                <w:lang w:val="lv-LV" w:eastAsia="lv-LV"/>
              </w:rPr>
              <w:t>hakatoni</w:t>
            </w:r>
            <w:proofErr w:type="spellEnd"/>
            <w:r w:rsidRPr="00F20978">
              <w:rPr>
                <w:rFonts w:ascii="Times New Roman" w:hAnsi="Times New Roman" w:cs="Times New Roman"/>
                <w:sz w:val="24"/>
                <w:szCs w:val="24"/>
                <w:lang w:val="lv-LV" w:eastAsia="lv-LV"/>
              </w:rPr>
              <w:t xml:space="preserve">, ar mērķi veicināt sadarbību starp tehnoloģiju piegādātājiem un ražojošiem uzņēmumiem un sekmēt progresīvo tehnoloģiju aprobāciju. Projekts paver iespējas MKC pētījumu veicējiem gan piedāvāt citu valstu uzņēmumiem savus izstrādātos risinājumus, gan iegūt papildu zināšanas un </w:t>
            </w:r>
            <w:proofErr w:type="spellStart"/>
            <w:r w:rsidRPr="00F20978">
              <w:rPr>
                <w:rFonts w:ascii="Times New Roman" w:hAnsi="Times New Roman" w:cs="Times New Roman"/>
                <w:sz w:val="24"/>
                <w:szCs w:val="24"/>
                <w:lang w:val="lv-LV" w:eastAsia="lv-LV"/>
              </w:rPr>
              <w:t>know-how</w:t>
            </w:r>
            <w:proofErr w:type="spellEnd"/>
            <w:r w:rsidRPr="00F20978">
              <w:rPr>
                <w:rFonts w:ascii="Times New Roman" w:hAnsi="Times New Roman" w:cs="Times New Roman"/>
                <w:sz w:val="24"/>
                <w:szCs w:val="24"/>
                <w:lang w:val="lv-LV" w:eastAsia="lv-LV"/>
              </w:rPr>
              <w:t xml:space="preserve"> no ārvalstu partneriem.</w:t>
            </w:r>
          </w:p>
          <w:p w14:paraId="449F129B" w14:textId="4913F0E4" w:rsidR="00F20978" w:rsidRPr="00F20978" w:rsidRDefault="00F20978" w:rsidP="00F20978">
            <w:pPr>
              <w:spacing w:line="276" w:lineRule="auto"/>
              <w:jc w:val="both"/>
              <w:rPr>
                <w:rFonts w:ascii="Times New Roman" w:hAnsi="Times New Roman" w:cs="Times New Roman"/>
                <w:sz w:val="24"/>
                <w:szCs w:val="24"/>
                <w:lang w:val="lv-LV" w:eastAsia="lv-LV"/>
              </w:rPr>
            </w:pPr>
            <w:r w:rsidRPr="00F20978">
              <w:rPr>
                <w:rFonts w:ascii="Times New Roman" w:hAnsi="Times New Roman" w:cs="Times New Roman"/>
                <w:sz w:val="24"/>
                <w:szCs w:val="24"/>
                <w:lang w:val="lv-LV" w:eastAsia="lv-LV"/>
              </w:rPr>
              <w:t xml:space="preserve">MASOC ir viens no partneriem Latvijas IT klastera organizētajā </w:t>
            </w:r>
            <w:r w:rsidRPr="00F20978">
              <w:rPr>
                <w:rFonts w:ascii="Times New Roman" w:hAnsi="Times New Roman" w:cs="Times New Roman"/>
                <w:b/>
                <w:bCs/>
                <w:sz w:val="24"/>
                <w:szCs w:val="24"/>
                <w:lang w:val="lv-LV" w:eastAsia="lv-LV"/>
              </w:rPr>
              <w:t>Latvijas Digitālā inovāciju centra</w:t>
            </w:r>
            <w:r w:rsidRPr="00F20978">
              <w:rPr>
                <w:rFonts w:ascii="Times New Roman" w:hAnsi="Times New Roman" w:cs="Times New Roman"/>
                <w:sz w:val="24"/>
                <w:szCs w:val="24"/>
                <w:lang w:val="lv-LV" w:eastAsia="lv-LV"/>
              </w:rPr>
              <w:t xml:space="preserve"> projektā (</w:t>
            </w:r>
            <w:hyperlink r:id="rId11" w:history="1">
              <w:r w:rsidRPr="00F20978">
                <w:rPr>
                  <w:rStyle w:val="Hipersaite"/>
                  <w:rFonts w:ascii="Times New Roman" w:hAnsi="Times New Roman" w:cs="Times New Roman"/>
                  <w:sz w:val="24"/>
                  <w:szCs w:val="24"/>
                  <w:lang w:val="lv-LV" w:eastAsia="lv-LV"/>
                </w:rPr>
                <w:t>www.dih.lv</w:t>
              </w:r>
            </w:hyperlink>
            <w:r w:rsidRPr="00F20978">
              <w:rPr>
                <w:rFonts w:ascii="Times New Roman" w:hAnsi="Times New Roman" w:cs="Times New Roman"/>
                <w:sz w:val="24"/>
                <w:szCs w:val="24"/>
                <w:lang w:val="lv-LV" w:eastAsia="lv-LV"/>
              </w:rPr>
              <w:t>). Centrs aktīvu darbību plāno uzsākt 2022.</w:t>
            </w:r>
            <w:r w:rsidR="005D612F">
              <w:rPr>
                <w:rFonts w:ascii="Times New Roman" w:hAnsi="Times New Roman" w:cs="Times New Roman"/>
                <w:sz w:val="24"/>
                <w:szCs w:val="24"/>
                <w:lang w:val="lv-LV" w:eastAsia="lv-LV"/>
              </w:rPr>
              <w:t xml:space="preserve"> </w:t>
            </w:r>
            <w:r w:rsidRPr="00F20978">
              <w:rPr>
                <w:rFonts w:ascii="Times New Roman" w:hAnsi="Times New Roman" w:cs="Times New Roman"/>
                <w:sz w:val="24"/>
                <w:szCs w:val="24"/>
                <w:lang w:val="lv-LV" w:eastAsia="lv-LV"/>
              </w:rPr>
              <w:t>gada septembrī. Tiks meklētas sinerģijas iespējas, sasaistot MKC un DIH aktivitātes.</w:t>
            </w:r>
          </w:p>
          <w:p w14:paraId="2599A964" w14:textId="1D0D3B30" w:rsidR="00F20978" w:rsidRPr="00F20978" w:rsidRDefault="00F20978" w:rsidP="00F20978">
            <w:pPr>
              <w:spacing w:line="276" w:lineRule="auto"/>
              <w:jc w:val="both"/>
              <w:rPr>
                <w:rFonts w:ascii="Times New Roman" w:hAnsi="Times New Roman" w:cs="Times New Roman"/>
                <w:sz w:val="24"/>
                <w:szCs w:val="24"/>
                <w:lang w:val="lv-LV"/>
              </w:rPr>
            </w:pPr>
            <w:r w:rsidRPr="00F20978">
              <w:rPr>
                <w:rFonts w:ascii="Times New Roman" w:hAnsi="Times New Roman" w:cs="Times New Roman"/>
                <w:sz w:val="24"/>
                <w:szCs w:val="24"/>
                <w:lang w:val="lv-LV" w:eastAsia="lv-LV"/>
              </w:rPr>
              <w:lastRenderedPageBreak/>
              <w:t xml:space="preserve">Plānots turpināt sadarboties ar </w:t>
            </w:r>
            <w:r w:rsidRPr="00F20978">
              <w:rPr>
                <w:rFonts w:ascii="Times New Roman" w:hAnsi="Times New Roman" w:cs="Times New Roman"/>
                <w:b/>
                <w:sz w:val="24"/>
                <w:szCs w:val="24"/>
                <w:lang w:val="lv-LV" w:eastAsia="lv-LV"/>
              </w:rPr>
              <w:t>Eiropas Inovāciju un tehnoloģiju institūtu (EIT) (</w:t>
            </w:r>
            <w:hyperlink r:id="rId12" w:history="1">
              <w:r w:rsidRPr="00F20978">
                <w:rPr>
                  <w:rStyle w:val="Hipersaite"/>
                  <w:rFonts w:ascii="Times New Roman" w:hAnsi="Times New Roman" w:cs="Times New Roman"/>
                  <w:b/>
                  <w:sz w:val="24"/>
                  <w:szCs w:val="24"/>
                  <w:lang w:val="lv-LV" w:eastAsia="lv-LV"/>
                </w:rPr>
                <w:t>https://eit.europa.eu/</w:t>
              </w:r>
            </w:hyperlink>
            <w:r w:rsidRPr="00F20978">
              <w:rPr>
                <w:rFonts w:ascii="Times New Roman" w:hAnsi="Times New Roman" w:cs="Times New Roman"/>
                <w:b/>
                <w:sz w:val="24"/>
                <w:szCs w:val="24"/>
                <w:lang w:val="lv-LV" w:eastAsia="lv-LV"/>
              </w:rPr>
              <w:t xml:space="preserve">). </w:t>
            </w:r>
            <w:r w:rsidRPr="00F20978">
              <w:rPr>
                <w:rFonts w:ascii="Times New Roman" w:hAnsi="Times New Roman" w:cs="Times New Roman"/>
                <w:bCs/>
                <w:sz w:val="24"/>
                <w:szCs w:val="24"/>
                <w:lang w:val="lv-LV"/>
              </w:rPr>
              <w:t>EIT</w:t>
            </w:r>
            <w:r w:rsidRPr="00F20978">
              <w:rPr>
                <w:rFonts w:ascii="Times New Roman" w:hAnsi="Times New Roman" w:cs="Times New Roman"/>
                <w:b/>
                <w:bCs/>
                <w:sz w:val="24"/>
                <w:szCs w:val="24"/>
                <w:lang w:val="lv-LV"/>
              </w:rPr>
              <w:t xml:space="preserve"> </w:t>
            </w:r>
            <w:r w:rsidRPr="00F20978">
              <w:rPr>
                <w:rFonts w:ascii="Times New Roman" w:hAnsi="Times New Roman" w:cs="Times New Roman"/>
                <w:sz w:val="24"/>
                <w:szCs w:val="24"/>
                <w:lang w:val="lv-LV"/>
              </w:rPr>
              <w:t>ir neatkarīga Budapeštā bāzēta ES struktūra, kas stiprina Eiropas inovācijas spēju. EIT ir ES pētniecības un inovācijas pamatprogrammas “Apvārsnis 2020” (</w:t>
            </w:r>
            <w:proofErr w:type="spellStart"/>
            <w:r w:rsidRPr="00F20978">
              <w:rPr>
                <w:rFonts w:ascii="Times New Roman" w:hAnsi="Times New Roman" w:cs="Times New Roman"/>
                <w:sz w:val="24"/>
                <w:szCs w:val="24"/>
                <w:lang w:val="lv-LV"/>
              </w:rPr>
              <w:t>Horizon</w:t>
            </w:r>
            <w:proofErr w:type="spellEnd"/>
            <w:r w:rsidRPr="00F20978">
              <w:rPr>
                <w:rFonts w:ascii="Times New Roman" w:hAnsi="Times New Roman" w:cs="Times New Roman"/>
                <w:sz w:val="24"/>
                <w:szCs w:val="24"/>
                <w:lang w:val="lv-LV"/>
              </w:rPr>
              <w:t xml:space="preserve"> 2020) neatņemama daļa un tiek līdzfinansēts no tā budžeta. EIT spēlē būtisku lomu ES mērķu — radīt ilgtspējīgu ekonomisko izaugsmi un darbavietas — atbalstīšanā, dodot iespēju uzņēmējiem un novatoriem pārvērst viņu labākās idejas produktos un pakalpojumos Eiropai. EIT atbalsta jaunas idejas, apvienojot zinību triādi — vadošos uzņēmumus, universitātes un pētniecības centrus, lai veidotu dinamiskas pārrobežu partnerības, sauktas par </w:t>
            </w:r>
            <w:r w:rsidRPr="00F20978">
              <w:rPr>
                <w:rFonts w:ascii="Times New Roman" w:hAnsi="Times New Roman" w:cs="Times New Roman"/>
                <w:b/>
                <w:bCs/>
                <w:sz w:val="24"/>
                <w:szCs w:val="24"/>
                <w:lang w:val="lv-LV"/>
              </w:rPr>
              <w:t>Inovāciju kopienām</w:t>
            </w:r>
            <w:r w:rsidRPr="00F20978">
              <w:rPr>
                <w:rFonts w:ascii="Times New Roman" w:hAnsi="Times New Roman" w:cs="Times New Roman"/>
                <w:sz w:val="24"/>
                <w:szCs w:val="24"/>
                <w:lang w:val="lv-LV"/>
              </w:rPr>
              <w:t xml:space="preserve"> (ZIK — Zināšanu un inovāciju kopiena). Tās tiek izraudzītas konkursa kārtībā (līdzīgi kā kompetences centru Latvijā) ar budžetu 400 milj. EUR katrai inovāciju atbalstam katrai no kopienām. Šobrīd EIT jau ir izkontraktējis un Eiropā darbojas 9 kopienas (organizācijas) dažādās jomās.  Kā tematiski tuvākās MKC pētījumu specifikai ir minamas šādas EIT inovāciju kopienas:</w:t>
            </w:r>
          </w:p>
          <w:p w14:paraId="13041615" w14:textId="77777777" w:rsidR="00F20978" w:rsidRPr="00F20978" w:rsidRDefault="00F20978" w:rsidP="00F20978">
            <w:pPr>
              <w:pStyle w:val="Sarakstarindkopa"/>
              <w:numPr>
                <w:ilvl w:val="0"/>
                <w:numId w:val="10"/>
              </w:numPr>
              <w:spacing w:after="160" w:line="276" w:lineRule="auto"/>
              <w:jc w:val="both"/>
              <w:rPr>
                <w:rFonts w:cs="Times New Roman"/>
                <w:sz w:val="24"/>
                <w:szCs w:val="24"/>
                <w:lang w:val="lv-LV"/>
              </w:rPr>
            </w:pPr>
            <w:r w:rsidRPr="00F20978">
              <w:rPr>
                <w:rFonts w:cs="Times New Roman"/>
                <w:sz w:val="24"/>
                <w:szCs w:val="24"/>
                <w:lang w:val="lv-LV"/>
              </w:rPr>
              <w:t xml:space="preserve">EIT </w:t>
            </w:r>
            <w:proofErr w:type="spellStart"/>
            <w:r w:rsidRPr="00F20978">
              <w:rPr>
                <w:rFonts w:cs="Times New Roman"/>
                <w:sz w:val="24"/>
                <w:szCs w:val="24"/>
                <w:lang w:val="lv-LV"/>
              </w:rPr>
              <w:t>Manufacturing</w:t>
            </w:r>
            <w:proofErr w:type="spellEnd"/>
          </w:p>
          <w:p w14:paraId="1ECFD250" w14:textId="77777777" w:rsidR="00F20978" w:rsidRPr="00F20978" w:rsidRDefault="00F20978" w:rsidP="00F20978">
            <w:pPr>
              <w:pStyle w:val="Sarakstarindkopa"/>
              <w:numPr>
                <w:ilvl w:val="0"/>
                <w:numId w:val="10"/>
              </w:numPr>
              <w:spacing w:after="160" w:line="276" w:lineRule="auto"/>
              <w:jc w:val="both"/>
              <w:rPr>
                <w:rFonts w:cs="Times New Roman"/>
                <w:sz w:val="24"/>
                <w:szCs w:val="24"/>
                <w:lang w:val="lv-LV"/>
              </w:rPr>
            </w:pPr>
            <w:r w:rsidRPr="00F20978">
              <w:rPr>
                <w:rFonts w:cs="Times New Roman"/>
                <w:sz w:val="24"/>
                <w:szCs w:val="24"/>
                <w:lang w:val="lv-LV"/>
              </w:rPr>
              <w:t xml:space="preserve">EIT </w:t>
            </w:r>
            <w:proofErr w:type="spellStart"/>
            <w:r w:rsidRPr="00F20978">
              <w:rPr>
                <w:rFonts w:cs="Times New Roman"/>
                <w:sz w:val="24"/>
                <w:szCs w:val="24"/>
                <w:lang w:val="lv-LV"/>
              </w:rPr>
              <w:t>InnoEnergy</w:t>
            </w:r>
            <w:proofErr w:type="spellEnd"/>
          </w:p>
          <w:p w14:paraId="25C400C2" w14:textId="77777777" w:rsidR="00F20978" w:rsidRPr="00F20978" w:rsidRDefault="00F20978" w:rsidP="00F20978">
            <w:pPr>
              <w:pStyle w:val="Sarakstarindkopa"/>
              <w:numPr>
                <w:ilvl w:val="0"/>
                <w:numId w:val="10"/>
              </w:numPr>
              <w:spacing w:after="160" w:line="276" w:lineRule="auto"/>
              <w:jc w:val="both"/>
              <w:rPr>
                <w:rFonts w:cs="Times New Roman"/>
                <w:sz w:val="24"/>
                <w:szCs w:val="24"/>
                <w:lang w:val="lv-LV"/>
              </w:rPr>
            </w:pPr>
            <w:r w:rsidRPr="00F20978">
              <w:rPr>
                <w:rFonts w:cs="Times New Roman"/>
                <w:sz w:val="24"/>
                <w:szCs w:val="24"/>
                <w:lang w:val="lv-LV"/>
              </w:rPr>
              <w:t xml:space="preserve">EIT </w:t>
            </w:r>
            <w:proofErr w:type="spellStart"/>
            <w:r w:rsidRPr="00F20978">
              <w:rPr>
                <w:rFonts w:cs="Times New Roman"/>
                <w:sz w:val="24"/>
                <w:szCs w:val="24"/>
                <w:lang w:val="lv-LV"/>
              </w:rPr>
              <w:t>InnoMobility</w:t>
            </w:r>
            <w:proofErr w:type="spellEnd"/>
          </w:p>
          <w:p w14:paraId="6B5DE711" w14:textId="77777777" w:rsidR="00F20978" w:rsidRPr="00F20978" w:rsidRDefault="00F20978" w:rsidP="00F20978">
            <w:pPr>
              <w:spacing w:line="276" w:lineRule="auto"/>
              <w:jc w:val="both"/>
              <w:rPr>
                <w:rFonts w:ascii="Times New Roman" w:hAnsi="Times New Roman" w:cs="Times New Roman"/>
                <w:sz w:val="24"/>
                <w:szCs w:val="24"/>
                <w:lang w:val="lv-LV"/>
              </w:rPr>
            </w:pPr>
            <w:r w:rsidRPr="00F20978">
              <w:rPr>
                <w:rFonts w:ascii="Times New Roman" w:hAnsi="Times New Roman" w:cs="Times New Roman"/>
                <w:b/>
                <w:bCs/>
                <w:sz w:val="24"/>
                <w:szCs w:val="24"/>
                <w:lang w:val="lv-LV"/>
              </w:rPr>
              <w:t xml:space="preserve">EIT </w:t>
            </w:r>
            <w:proofErr w:type="spellStart"/>
            <w:r w:rsidRPr="00F20978">
              <w:rPr>
                <w:rFonts w:ascii="Times New Roman" w:hAnsi="Times New Roman" w:cs="Times New Roman"/>
                <w:b/>
                <w:bCs/>
                <w:sz w:val="24"/>
                <w:szCs w:val="24"/>
                <w:lang w:val="lv-LV"/>
              </w:rPr>
              <w:t>Manufacturing</w:t>
            </w:r>
            <w:proofErr w:type="spellEnd"/>
            <w:r w:rsidRPr="00F20978">
              <w:rPr>
                <w:rFonts w:ascii="Times New Roman" w:hAnsi="Times New Roman" w:cs="Times New Roman"/>
                <w:sz w:val="24"/>
                <w:szCs w:val="24"/>
                <w:lang w:val="lv-LV"/>
              </w:rPr>
              <w:t xml:space="preserve"> ir salīdzinoši jauna inovāciju kopiena.  Tematiski tā labi sader ar MKC ietvaros veiktajiem pētījumu virzieniem, it īpaši automatizētu ražošanas sistēmu ražošanas tehnoloģijas. Lai arī MASOC nav EIT pilnvērtīgs biedrs, notiek regulāra informācijas apmaiņa un ir bijušas vairākas tikšanās ar EIT </w:t>
            </w:r>
            <w:proofErr w:type="spellStart"/>
            <w:r w:rsidRPr="00F20978">
              <w:rPr>
                <w:rFonts w:ascii="Times New Roman" w:hAnsi="Times New Roman" w:cs="Times New Roman"/>
                <w:sz w:val="24"/>
                <w:szCs w:val="24"/>
                <w:lang w:val="lv-LV"/>
              </w:rPr>
              <w:t>manufacturing</w:t>
            </w:r>
            <w:proofErr w:type="spellEnd"/>
            <w:r w:rsidRPr="00F20978">
              <w:rPr>
                <w:rFonts w:ascii="Times New Roman" w:hAnsi="Times New Roman" w:cs="Times New Roman"/>
                <w:sz w:val="24"/>
                <w:szCs w:val="24"/>
                <w:lang w:val="lv-LV"/>
              </w:rPr>
              <w:t xml:space="preserve"> pārstāvjiem. Paredzams, ka sadarbība ar EIT </w:t>
            </w:r>
            <w:proofErr w:type="spellStart"/>
            <w:r w:rsidRPr="00F20978">
              <w:rPr>
                <w:rFonts w:ascii="Times New Roman" w:hAnsi="Times New Roman" w:cs="Times New Roman"/>
                <w:sz w:val="24"/>
                <w:szCs w:val="24"/>
                <w:lang w:val="lv-LV"/>
              </w:rPr>
              <w:t>Manufacturing</w:t>
            </w:r>
            <w:proofErr w:type="spellEnd"/>
            <w:r w:rsidRPr="00F20978">
              <w:rPr>
                <w:rFonts w:ascii="Times New Roman" w:hAnsi="Times New Roman" w:cs="Times New Roman"/>
                <w:sz w:val="24"/>
                <w:szCs w:val="24"/>
                <w:lang w:val="lv-LV"/>
              </w:rPr>
              <w:t xml:space="preserve"> tiks tālāk attīstīta un tiks rastas sinerģijas ar MKC projektu īstenotājiem.</w:t>
            </w:r>
          </w:p>
          <w:p w14:paraId="0C767A27" w14:textId="77777777" w:rsidR="00F20978" w:rsidRPr="00F20978" w:rsidRDefault="00F20978" w:rsidP="00F20978">
            <w:pPr>
              <w:spacing w:line="276" w:lineRule="auto"/>
              <w:jc w:val="both"/>
              <w:rPr>
                <w:rFonts w:ascii="Times New Roman" w:hAnsi="Times New Roman" w:cs="Times New Roman"/>
                <w:sz w:val="24"/>
                <w:szCs w:val="24"/>
                <w:lang w:val="lv-LV"/>
              </w:rPr>
            </w:pPr>
            <w:r w:rsidRPr="00F20978">
              <w:rPr>
                <w:rFonts w:ascii="Times New Roman" w:hAnsi="Times New Roman" w:cs="Times New Roman"/>
                <w:b/>
                <w:sz w:val="24"/>
                <w:szCs w:val="24"/>
                <w:lang w:val="lv-LV"/>
              </w:rPr>
              <w:t xml:space="preserve">EIT </w:t>
            </w:r>
            <w:proofErr w:type="spellStart"/>
            <w:r w:rsidRPr="00F20978">
              <w:rPr>
                <w:rFonts w:ascii="Times New Roman" w:hAnsi="Times New Roman" w:cs="Times New Roman"/>
                <w:b/>
                <w:sz w:val="24"/>
                <w:szCs w:val="24"/>
                <w:lang w:val="lv-LV"/>
              </w:rPr>
              <w:t>InnoEnergy</w:t>
            </w:r>
            <w:proofErr w:type="spellEnd"/>
            <w:r w:rsidRPr="00F20978">
              <w:rPr>
                <w:rFonts w:ascii="Times New Roman" w:hAnsi="Times New Roman" w:cs="Times New Roman"/>
                <w:sz w:val="24"/>
                <w:szCs w:val="24"/>
                <w:lang w:val="lv-LV"/>
              </w:rPr>
              <w:t xml:space="preserve"> pievēršas ilgtspējīgas enerģijas mērķim, tajā skaitā gudro pilsētu risinājumiem. Tas ir fonds, kas investē enerģijas, tīro tehnoloģiju, mobilitātes un viedo tehnoloģiju nozaru risinājumos un atbalsta produktu komercializācijas procesu un ieviešanu starptautiskajā tirgū, izmantojot uzkrātās zināšanas, finansējumu un kontaktu tīklu. Fonda galvenais uzdevums ir identificēt un veicināt sadarbību ar partneriem, kas spētu palīdzēt uzņēmumiem definēt un sasniegt savu mērķauditoriju, uzsākot jauna risinājuma ieviešanu tirgū. Izmantojot atbalstu, iespējams paātrināt produkta attīstību tā sākumposmā. Viena no fāzēm, kur nepieciešams papildu finansējums, ir liela mēroga ražošanas uzsākšana. Tā darbības virzieni sasaucas ar Mašīnbūves kompetences centra Transporta tehnoloģiju pētniecības virzienu, kā arī  Automatizētu </w:t>
            </w:r>
            <w:proofErr w:type="spellStart"/>
            <w:r w:rsidRPr="00F20978">
              <w:rPr>
                <w:rFonts w:ascii="Times New Roman" w:hAnsi="Times New Roman" w:cs="Times New Roman"/>
                <w:sz w:val="24"/>
                <w:szCs w:val="24"/>
                <w:lang w:val="lv-LV"/>
              </w:rPr>
              <w:t>inženiersistēmu</w:t>
            </w:r>
            <w:proofErr w:type="spellEnd"/>
            <w:r w:rsidRPr="00F20978">
              <w:rPr>
                <w:rFonts w:ascii="Times New Roman" w:hAnsi="Times New Roman" w:cs="Times New Roman"/>
                <w:sz w:val="24"/>
                <w:szCs w:val="24"/>
                <w:lang w:val="lv-LV"/>
              </w:rPr>
              <w:t xml:space="preserve"> ražošanas tehnoloģiju virzienu energoefektīvu tehnoloģiju attīstībā. Ar šo organizāciju sadarbība jau notiek šobrīd un atsevišķi kompetences centra partneri jau sadarbojas ar </w:t>
            </w:r>
            <w:proofErr w:type="spellStart"/>
            <w:r w:rsidRPr="00F20978">
              <w:rPr>
                <w:rFonts w:ascii="Times New Roman" w:hAnsi="Times New Roman" w:cs="Times New Roman"/>
                <w:sz w:val="24"/>
                <w:szCs w:val="24"/>
                <w:lang w:val="lv-LV"/>
              </w:rPr>
              <w:t>InnoEnergy</w:t>
            </w:r>
            <w:proofErr w:type="spellEnd"/>
            <w:r w:rsidRPr="00F20978">
              <w:rPr>
                <w:rFonts w:ascii="Times New Roman" w:hAnsi="Times New Roman" w:cs="Times New Roman"/>
                <w:sz w:val="24"/>
                <w:szCs w:val="24"/>
                <w:lang w:val="lv-LV"/>
              </w:rPr>
              <w:t xml:space="preserve"> daudz ciešākā līmenī (kā investors). </w:t>
            </w:r>
          </w:p>
          <w:p w14:paraId="3838F120" w14:textId="77777777" w:rsidR="00F20978" w:rsidRPr="00F20978" w:rsidRDefault="00F20978" w:rsidP="00F20978">
            <w:pPr>
              <w:spacing w:line="276" w:lineRule="auto"/>
              <w:jc w:val="both"/>
              <w:rPr>
                <w:rFonts w:ascii="Times New Roman" w:hAnsi="Times New Roman" w:cs="Times New Roman"/>
                <w:sz w:val="24"/>
                <w:szCs w:val="24"/>
                <w:lang w:val="lv-LV"/>
              </w:rPr>
            </w:pPr>
            <w:r w:rsidRPr="00F20978">
              <w:rPr>
                <w:rFonts w:ascii="Times New Roman" w:hAnsi="Times New Roman" w:cs="Times New Roman"/>
                <w:sz w:val="24"/>
                <w:szCs w:val="24"/>
                <w:lang w:val="lv-LV"/>
              </w:rPr>
              <w:t xml:space="preserve">Mašīnbūves kompetences centrs ir arī uzsācis sadarbību ar </w:t>
            </w:r>
            <w:r w:rsidRPr="00F20978">
              <w:rPr>
                <w:rFonts w:ascii="Times New Roman" w:hAnsi="Times New Roman" w:cs="Times New Roman"/>
                <w:b/>
                <w:bCs/>
                <w:sz w:val="24"/>
                <w:szCs w:val="24"/>
                <w:lang w:val="lv-LV"/>
              </w:rPr>
              <w:t xml:space="preserve">EIT </w:t>
            </w:r>
            <w:proofErr w:type="spellStart"/>
            <w:r w:rsidRPr="00F20978">
              <w:rPr>
                <w:rFonts w:ascii="Times New Roman" w:hAnsi="Times New Roman" w:cs="Times New Roman"/>
                <w:b/>
                <w:bCs/>
                <w:sz w:val="24"/>
                <w:szCs w:val="24"/>
                <w:lang w:val="lv-LV"/>
              </w:rPr>
              <w:t>Raw</w:t>
            </w:r>
            <w:proofErr w:type="spellEnd"/>
            <w:r w:rsidRPr="00F20978">
              <w:rPr>
                <w:rFonts w:ascii="Times New Roman" w:hAnsi="Times New Roman" w:cs="Times New Roman"/>
                <w:b/>
                <w:bCs/>
                <w:sz w:val="24"/>
                <w:szCs w:val="24"/>
                <w:lang w:val="lv-LV"/>
              </w:rPr>
              <w:t xml:space="preserve"> </w:t>
            </w:r>
            <w:proofErr w:type="spellStart"/>
            <w:r w:rsidRPr="00F20978">
              <w:rPr>
                <w:rFonts w:ascii="Times New Roman" w:hAnsi="Times New Roman" w:cs="Times New Roman"/>
                <w:b/>
                <w:bCs/>
                <w:sz w:val="24"/>
                <w:szCs w:val="24"/>
                <w:lang w:val="lv-LV"/>
              </w:rPr>
              <w:t>Materials</w:t>
            </w:r>
            <w:proofErr w:type="spellEnd"/>
            <w:r w:rsidRPr="00F20978">
              <w:rPr>
                <w:rFonts w:ascii="Times New Roman" w:hAnsi="Times New Roman" w:cs="Times New Roman"/>
                <w:sz w:val="24"/>
                <w:szCs w:val="24"/>
                <w:lang w:val="lv-LV"/>
              </w:rPr>
              <w:t>. Tā darbības mērķos ietilpst veicināt resursu efektivitāti un uzlabot procesus un produktus, atbalstīt jaunu, inovatīvu tehnoloģiju ieviešanu materiālu ieguvē un ražošanā, kā arī pārdomāt esošo lineāro ekonomisko modeli, lai virzītos uz aprites ekonomikas (</w:t>
            </w:r>
            <w:proofErr w:type="spellStart"/>
            <w:r w:rsidRPr="00F20978">
              <w:rPr>
                <w:rFonts w:ascii="Times New Roman" w:hAnsi="Times New Roman" w:cs="Times New Roman"/>
                <w:sz w:val="24"/>
                <w:szCs w:val="24"/>
                <w:lang w:val="lv-LV"/>
              </w:rPr>
              <w:t>Circular</w:t>
            </w:r>
            <w:proofErr w:type="spellEnd"/>
            <w:r w:rsidRPr="00F20978">
              <w:rPr>
                <w:rFonts w:ascii="Times New Roman" w:hAnsi="Times New Roman" w:cs="Times New Roman"/>
                <w:sz w:val="24"/>
                <w:szCs w:val="24"/>
                <w:lang w:val="lv-LV"/>
              </w:rPr>
              <w:t xml:space="preserve"> </w:t>
            </w:r>
            <w:proofErr w:type="spellStart"/>
            <w:r w:rsidRPr="00F20978">
              <w:rPr>
                <w:rFonts w:ascii="Times New Roman" w:hAnsi="Times New Roman" w:cs="Times New Roman"/>
                <w:sz w:val="24"/>
                <w:szCs w:val="24"/>
                <w:lang w:val="lv-LV"/>
              </w:rPr>
              <w:t>economy</w:t>
            </w:r>
            <w:proofErr w:type="spellEnd"/>
            <w:r w:rsidRPr="00F20978">
              <w:rPr>
                <w:rFonts w:ascii="Times New Roman" w:hAnsi="Times New Roman" w:cs="Times New Roman"/>
                <w:sz w:val="24"/>
                <w:szCs w:val="24"/>
                <w:lang w:val="lv-LV"/>
              </w:rPr>
              <w:t xml:space="preserve">)  pieeju. Šīs organizācijas darbības jomas sasaucas ar centra Materiālu ražošanas tehnoloģiju pētniecības virzienu un ir plānots veicināt sadarbību jau konkrētu projektu līmenī. </w:t>
            </w:r>
          </w:p>
          <w:p w14:paraId="7B8732FC" w14:textId="77777777" w:rsidR="00F20978" w:rsidRPr="00F20978" w:rsidRDefault="00F20978" w:rsidP="00F20978">
            <w:pPr>
              <w:spacing w:line="276" w:lineRule="auto"/>
              <w:jc w:val="both"/>
              <w:rPr>
                <w:rFonts w:ascii="Times New Roman" w:hAnsi="Times New Roman" w:cs="Times New Roman"/>
                <w:sz w:val="24"/>
                <w:szCs w:val="24"/>
                <w:lang w:val="lv-LV"/>
              </w:rPr>
            </w:pPr>
            <w:r w:rsidRPr="00F20978">
              <w:rPr>
                <w:rFonts w:ascii="Times New Roman" w:hAnsi="Times New Roman" w:cs="Times New Roman"/>
                <w:sz w:val="24"/>
                <w:szCs w:val="24"/>
                <w:lang w:val="lv-LV"/>
              </w:rPr>
              <w:lastRenderedPageBreak/>
              <w:t>Ņemot vērā, ka šīs atbalsta organizācijas ir ar daudz plašākām un finansiāli ietilpīgākām atbalsta iespējām, galvenie sadarbības virzieni tiek saskatīti kā:</w:t>
            </w:r>
          </w:p>
          <w:p w14:paraId="0CBBF000" w14:textId="1FA46A8B" w:rsidR="00F20978" w:rsidRPr="00F20978" w:rsidRDefault="005D612F" w:rsidP="00F20978">
            <w:pPr>
              <w:pStyle w:val="Sarakstarindkopa"/>
              <w:numPr>
                <w:ilvl w:val="0"/>
                <w:numId w:val="11"/>
              </w:numPr>
              <w:spacing w:after="200" w:line="276" w:lineRule="auto"/>
              <w:jc w:val="both"/>
              <w:rPr>
                <w:rFonts w:cs="Times New Roman"/>
                <w:b w:val="0"/>
                <w:sz w:val="24"/>
                <w:szCs w:val="24"/>
                <w:lang w:val="lv-LV"/>
              </w:rPr>
            </w:pPr>
            <w:r>
              <w:rPr>
                <w:rFonts w:cs="Times New Roman"/>
                <w:b w:val="0"/>
                <w:sz w:val="24"/>
                <w:szCs w:val="24"/>
                <w:lang w:val="lv-LV"/>
              </w:rPr>
              <w:t>p</w:t>
            </w:r>
            <w:r w:rsidR="00F20978" w:rsidRPr="00F20978">
              <w:rPr>
                <w:rFonts w:cs="Times New Roman"/>
                <w:b w:val="0"/>
                <w:sz w:val="24"/>
                <w:szCs w:val="24"/>
                <w:lang w:val="lv-LV"/>
              </w:rPr>
              <w:t>erspektīvāko projektu tālāka attīstība un virzīšana uz šiem atbalsta instrumentiem;</w:t>
            </w:r>
          </w:p>
          <w:p w14:paraId="20F2EC9F" w14:textId="019822A1" w:rsidR="00F20978" w:rsidRPr="00F20978" w:rsidRDefault="005D612F" w:rsidP="00F20978">
            <w:pPr>
              <w:pStyle w:val="Sarakstarindkopa"/>
              <w:numPr>
                <w:ilvl w:val="0"/>
                <w:numId w:val="11"/>
              </w:numPr>
              <w:spacing w:after="200" w:line="276" w:lineRule="auto"/>
              <w:jc w:val="both"/>
              <w:rPr>
                <w:rFonts w:cs="Times New Roman"/>
                <w:b w:val="0"/>
                <w:sz w:val="24"/>
                <w:szCs w:val="24"/>
                <w:lang w:val="lv-LV"/>
              </w:rPr>
            </w:pPr>
            <w:r>
              <w:rPr>
                <w:rFonts w:cs="Times New Roman"/>
                <w:b w:val="0"/>
                <w:sz w:val="24"/>
                <w:szCs w:val="24"/>
                <w:lang w:val="lv-LV"/>
              </w:rPr>
              <w:t>s</w:t>
            </w:r>
            <w:r w:rsidR="00F20978" w:rsidRPr="00F20978">
              <w:rPr>
                <w:rFonts w:cs="Times New Roman"/>
                <w:b w:val="0"/>
                <w:sz w:val="24"/>
                <w:szCs w:val="24"/>
                <w:lang w:val="lv-LV"/>
              </w:rPr>
              <w:t>adarbības partneru meklējumi abos virzienos (jo arī šajās organizācijās ir jāiesniedz projekti konsorcijos);</w:t>
            </w:r>
          </w:p>
          <w:p w14:paraId="226C4137" w14:textId="44751C95" w:rsidR="00F20978" w:rsidRPr="00F20978" w:rsidRDefault="005D612F" w:rsidP="00F20978">
            <w:pPr>
              <w:pStyle w:val="Sarakstarindkopa"/>
              <w:numPr>
                <w:ilvl w:val="0"/>
                <w:numId w:val="11"/>
              </w:numPr>
              <w:spacing w:after="200" w:line="276" w:lineRule="auto"/>
              <w:jc w:val="both"/>
              <w:rPr>
                <w:rFonts w:cs="Times New Roman"/>
                <w:b w:val="0"/>
                <w:sz w:val="24"/>
                <w:szCs w:val="24"/>
                <w:lang w:val="lv-LV"/>
              </w:rPr>
            </w:pPr>
            <w:r>
              <w:rPr>
                <w:rFonts w:cs="Times New Roman"/>
                <w:b w:val="0"/>
                <w:sz w:val="24"/>
                <w:szCs w:val="24"/>
                <w:lang w:val="lv-LV"/>
              </w:rPr>
              <w:t>l</w:t>
            </w:r>
            <w:r w:rsidR="00F20978" w:rsidRPr="00F20978">
              <w:rPr>
                <w:rFonts w:cs="Times New Roman"/>
                <w:b w:val="0"/>
                <w:sz w:val="24"/>
                <w:szCs w:val="24"/>
                <w:lang w:val="lv-LV"/>
              </w:rPr>
              <w:t>abās prakses apmaiņas vizītes un semināri projektu izvērtēšanā un ieviešanā.</w:t>
            </w:r>
          </w:p>
          <w:p w14:paraId="4A2D9307" w14:textId="4DA299B6" w:rsidR="00F20978" w:rsidRPr="00F20978" w:rsidRDefault="00F20978" w:rsidP="00F20978">
            <w:pPr>
              <w:jc w:val="both"/>
              <w:rPr>
                <w:rFonts w:ascii="Times New Roman" w:hAnsi="Times New Roman" w:cs="Times New Roman"/>
                <w:bCs/>
                <w:sz w:val="24"/>
                <w:szCs w:val="24"/>
                <w:lang w:val="lv-LV"/>
              </w:rPr>
            </w:pPr>
            <w:r w:rsidRPr="00F20978">
              <w:rPr>
                <w:rFonts w:ascii="Times New Roman" w:hAnsi="Times New Roman" w:cs="Times New Roman"/>
                <w:bCs/>
                <w:sz w:val="24"/>
                <w:szCs w:val="24"/>
                <w:lang w:val="lv-LV"/>
              </w:rPr>
              <w:t>Lai varētu labāk prezentēt Mašīnbūves kompetences centru, tā pētniecības virzienus un konkrētus pētījumus, plānots ir izstrādāt un izdot bukletu latviešu un angļu valodā, kas būs pieejams drukātā un elektroniskā formā un sniegs pārskatu par līdz šim īstenotajiem projektiem un Kompetences centra darbību kopumā.</w:t>
            </w:r>
          </w:p>
          <w:p w14:paraId="3EBE7F97" w14:textId="77777777" w:rsidR="009C04DD" w:rsidRPr="001B4029" w:rsidRDefault="009C04DD" w:rsidP="009C04DD">
            <w:pPr>
              <w:jc w:val="both"/>
              <w:rPr>
                <w:rFonts w:ascii="Times New Roman" w:hAnsi="Times New Roman" w:cs="Times New Roman"/>
                <w:bCs/>
                <w:sz w:val="24"/>
                <w:szCs w:val="24"/>
                <w:lang w:val="lv-LV"/>
              </w:rPr>
            </w:pPr>
          </w:p>
        </w:tc>
      </w:tr>
      <w:tr w:rsidR="009C04DD" w:rsidRPr="001B4029" w14:paraId="3FDC5955" w14:textId="77777777" w:rsidTr="003F48B2">
        <w:tc>
          <w:tcPr>
            <w:tcW w:w="9350" w:type="dxa"/>
            <w:gridSpan w:val="4"/>
            <w:shd w:val="clear" w:color="auto" w:fill="D9D9D9" w:themeFill="background1" w:themeFillShade="D9"/>
          </w:tcPr>
          <w:p w14:paraId="13A86FF9" w14:textId="1A7D5D41" w:rsidR="009C04DD" w:rsidRPr="001B4029" w:rsidRDefault="009C04DD" w:rsidP="009C04DD">
            <w:pPr>
              <w:pStyle w:val="Sarakstarindkopa"/>
              <w:numPr>
                <w:ilvl w:val="0"/>
                <w:numId w:val="4"/>
              </w:numPr>
              <w:ind w:left="451"/>
              <w:jc w:val="both"/>
              <w:rPr>
                <w:rFonts w:cs="Times New Roman"/>
                <w:sz w:val="24"/>
                <w:szCs w:val="24"/>
                <w:lang w:val="lv-LV"/>
              </w:rPr>
            </w:pPr>
            <w:r w:rsidRPr="001B4029">
              <w:rPr>
                <w:rFonts w:cs="Times New Roman"/>
                <w:sz w:val="24"/>
                <w:szCs w:val="24"/>
                <w:lang w:val="lv-LV"/>
              </w:rPr>
              <w:lastRenderedPageBreak/>
              <w:t>Plānotais pētniecības īstenošanas periods</w:t>
            </w:r>
          </w:p>
        </w:tc>
      </w:tr>
      <w:tr w:rsidR="009C04DD" w:rsidRPr="001B4029" w14:paraId="64F80F50" w14:textId="77777777" w:rsidTr="009C04DD">
        <w:trPr>
          <w:trHeight w:val="233"/>
        </w:trPr>
        <w:tc>
          <w:tcPr>
            <w:tcW w:w="2252" w:type="dxa"/>
            <w:shd w:val="clear" w:color="auto" w:fill="F2F2F2" w:themeFill="background1" w:themeFillShade="F2"/>
          </w:tcPr>
          <w:p w14:paraId="59A8EFDB" w14:textId="4A3B2811" w:rsidR="009C04DD" w:rsidRPr="001B4029" w:rsidRDefault="009C04DD" w:rsidP="009C04D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Sākuma datums (</w:t>
            </w:r>
            <w:proofErr w:type="spellStart"/>
            <w:r w:rsidRPr="001B4029">
              <w:rPr>
                <w:rFonts w:ascii="Times New Roman" w:hAnsi="Times New Roman" w:cs="Times New Roman"/>
                <w:bCs/>
                <w:i/>
                <w:iCs/>
                <w:sz w:val="24"/>
                <w:szCs w:val="24"/>
                <w:lang w:val="lv-LV"/>
              </w:rPr>
              <w:t>dd</w:t>
            </w:r>
            <w:proofErr w:type="spellEnd"/>
            <w:r w:rsidRPr="001B4029">
              <w:rPr>
                <w:rFonts w:ascii="Times New Roman" w:hAnsi="Times New Roman" w:cs="Times New Roman"/>
                <w:bCs/>
                <w:i/>
                <w:iCs/>
                <w:sz w:val="24"/>
                <w:szCs w:val="24"/>
                <w:lang w:val="lv-LV"/>
              </w:rPr>
              <w:t>/mm/</w:t>
            </w:r>
            <w:proofErr w:type="spellStart"/>
            <w:r w:rsidRPr="001B4029">
              <w:rPr>
                <w:rFonts w:ascii="Times New Roman" w:hAnsi="Times New Roman" w:cs="Times New Roman"/>
                <w:bCs/>
                <w:i/>
                <w:iCs/>
                <w:sz w:val="24"/>
                <w:szCs w:val="24"/>
                <w:lang w:val="lv-LV"/>
              </w:rPr>
              <w:t>gggg</w:t>
            </w:r>
            <w:proofErr w:type="spellEnd"/>
            <w:r w:rsidRPr="001B4029">
              <w:rPr>
                <w:rFonts w:ascii="Times New Roman" w:hAnsi="Times New Roman" w:cs="Times New Roman"/>
                <w:bCs/>
                <w:i/>
                <w:iCs/>
                <w:sz w:val="24"/>
                <w:szCs w:val="24"/>
                <w:lang w:val="lv-LV"/>
              </w:rPr>
              <w:t>)</w:t>
            </w:r>
          </w:p>
        </w:tc>
        <w:tc>
          <w:tcPr>
            <w:tcW w:w="7098" w:type="dxa"/>
            <w:gridSpan w:val="3"/>
          </w:tcPr>
          <w:p w14:paraId="1D33BD76" w14:textId="0F24C8D1" w:rsidR="009C04DD" w:rsidRPr="001B4029" w:rsidRDefault="009C04DD" w:rsidP="009C04DD">
            <w:pPr>
              <w:jc w:val="both"/>
              <w:rPr>
                <w:rFonts w:ascii="Times New Roman" w:hAnsi="Times New Roman" w:cs="Times New Roman"/>
                <w:sz w:val="24"/>
                <w:szCs w:val="24"/>
                <w:lang w:val="lv-LV"/>
              </w:rPr>
            </w:pPr>
            <w:r w:rsidRPr="0076105D">
              <w:rPr>
                <w:rFonts w:ascii="Times New Roman" w:hAnsi="Times New Roman" w:cs="Times New Roman"/>
                <w:sz w:val="24"/>
                <w:szCs w:val="24"/>
                <w:lang w:val="lv-LV"/>
              </w:rPr>
              <w:t>01/0</w:t>
            </w:r>
            <w:r w:rsidR="00060965">
              <w:rPr>
                <w:rFonts w:ascii="Times New Roman" w:hAnsi="Times New Roman" w:cs="Times New Roman"/>
                <w:sz w:val="24"/>
                <w:szCs w:val="24"/>
                <w:lang w:val="lv-LV"/>
              </w:rPr>
              <w:t>8</w:t>
            </w:r>
            <w:r w:rsidRPr="0076105D">
              <w:rPr>
                <w:rFonts w:ascii="Times New Roman" w:hAnsi="Times New Roman" w:cs="Times New Roman"/>
                <w:sz w:val="24"/>
                <w:szCs w:val="24"/>
                <w:lang w:val="lv-LV"/>
              </w:rPr>
              <w:t>/2024</w:t>
            </w:r>
          </w:p>
        </w:tc>
      </w:tr>
      <w:tr w:rsidR="009C04DD" w:rsidRPr="001B4029" w14:paraId="1095A8A4" w14:textId="77777777" w:rsidTr="009C04DD">
        <w:trPr>
          <w:trHeight w:val="233"/>
        </w:trPr>
        <w:tc>
          <w:tcPr>
            <w:tcW w:w="2252" w:type="dxa"/>
            <w:shd w:val="clear" w:color="auto" w:fill="F2F2F2" w:themeFill="background1" w:themeFillShade="F2"/>
          </w:tcPr>
          <w:p w14:paraId="02D64A38" w14:textId="50B22E32" w:rsidR="009C04DD" w:rsidRPr="001B4029" w:rsidRDefault="009C04DD" w:rsidP="009C04DD">
            <w:pPr>
              <w:jc w:val="both"/>
              <w:rPr>
                <w:rFonts w:ascii="Times New Roman" w:hAnsi="Times New Roman" w:cs="Times New Roman"/>
                <w:sz w:val="24"/>
                <w:szCs w:val="24"/>
                <w:lang w:val="lv-LV"/>
              </w:rPr>
            </w:pPr>
            <w:r w:rsidRPr="001B4029">
              <w:rPr>
                <w:rFonts w:ascii="Times New Roman" w:hAnsi="Times New Roman" w:cs="Times New Roman"/>
                <w:sz w:val="24"/>
                <w:szCs w:val="24"/>
                <w:lang w:val="lv-LV"/>
              </w:rPr>
              <w:t>Beigu datums (</w:t>
            </w:r>
            <w:proofErr w:type="spellStart"/>
            <w:r w:rsidRPr="001B4029">
              <w:rPr>
                <w:rFonts w:ascii="Times New Roman" w:hAnsi="Times New Roman" w:cs="Times New Roman"/>
                <w:bCs/>
                <w:i/>
                <w:iCs/>
                <w:sz w:val="24"/>
                <w:szCs w:val="24"/>
                <w:lang w:val="lv-LV"/>
              </w:rPr>
              <w:t>dd</w:t>
            </w:r>
            <w:proofErr w:type="spellEnd"/>
            <w:r w:rsidRPr="001B4029">
              <w:rPr>
                <w:rFonts w:ascii="Times New Roman" w:hAnsi="Times New Roman" w:cs="Times New Roman"/>
                <w:bCs/>
                <w:i/>
                <w:iCs/>
                <w:sz w:val="24"/>
                <w:szCs w:val="24"/>
                <w:lang w:val="lv-LV"/>
              </w:rPr>
              <w:t>/mm/</w:t>
            </w:r>
            <w:proofErr w:type="spellStart"/>
            <w:r w:rsidRPr="001B4029">
              <w:rPr>
                <w:rFonts w:ascii="Times New Roman" w:hAnsi="Times New Roman" w:cs="Times New Roman"/>
                <w:bCs/>
                <w:i/>
                <w:iCs/>
                <w:sz w:val="24"/>
                <w:szCs w:val="24"/>
                <w:lang w:val="lv-LV"/>
              </w:rPr>
              <w:t>gggg</w:t>
            </w:r>
            <w:proofErr w:type="spellEnd"/>
            <w:r w:rsidRPr="001B4029">
              <w:rPr>
                <w:rFonts w:ascii="Times New Roman" w:hAnsi="Times New Roman" w:cs="Times New Roman"/>
                <w:bCs/>
                <w:i/>
                <w:iCs/>
                <w:sz w:val="24"/>
                <w:szCs w:val="24"/>
                <w:lang w:val="lv-LV"/>
              </w:rPr>
              <w:t>)</w:t>
            </w:r>
          </w:p>
        </w:tc>
        <w:tc>
          <w:tcPr>
            <w:tcW w:w="7098" w:type="dxa"/>
            <w:gridSpan w:val="3"/>
          </w:tcPr>
          <w:p w14:paraId="09DA23A2" w14:textId="17F148EC" w:rsidR="009C04DD" w:rsidRPr="001B4029" w:rsidRDefault="009C04DD" w:rsidP="009C04DD">
            <w:pPr>
              <w:jc w:val="both"/>
              <w:rPr>
                <w:rFonts w:ascii="Times New Roman" w:hAnsi="Times New Roman" w:cs="Times New Roman"/>
                <w:sz w:val="24"/>
                <w:szCs w:val="24"/>
                <w:lang w:val="lv-LV"/>
              </w:rPr>
            </w:pPr>
            <w:r w:rsidRPr="0076105D">
              <w:rPr>
                <w:rFonts w:ascii="Times New Roman" w:hAnsi="Times New Roman" w:cs="Times New Roman"/>
                <w:sz w:val="24"/>
                <w:szCs w:val="24"/>
                <w:lang w:val="lv-LV"/>
              </w:rPr>
              <w:t>31/12/2027</w:t>
            </w:r>
          </w:p>
        </w:tc>
      </w:tr>
      <w:tr w:rsidR="009C04DD" w:rsidRPr="001B4029" w14:paraId="7DECACC1" w14:textId="77777777" w:rsidTr="003F48B2">
        <w:tc>
          <w:tcPr>
            <w:tcW w:w="9350" w:type="dxa"/>
            <w:gridSpan w:val="4"/>
            <w:shd w:val="clear" w:color="auto" w:fill="D9D9D9" w:themeFill="background1" w:themeFillShade="D9"/>
          </w:tcPr>
          <w:p w14:paraId="75A29D03" w14:textId="77777777" w:rsidR="009C04DD" w:rsidRPr="001B4029" w:rsidRDefault="009C04DD" w:rsidP="009C04DD">
            <w:pPr>
              <w:pStyle w:val="Sarakstarindkopa"/>
              <w:numPr>
                <w:ilvl w:val="0"/>
                <w:numId w:val="4"/>
              </w:numPr>
              <w:ind w:left="451"/>
              <w:jc w:val="both"/>
              <w:rPr>
                <w:rFonts w:cs="Times New Roman"/>
                <w:b w:val="0"/>
                <w:bCs/>
                <w:sz w:val="24"/>
                <w:szCs w:val="24"/>
                <w:lang w:val="lv-LV"/>
              </w:rPr>
            </w:pPr>
            <w:r w:rsidRPr="001B4029">
              <w:rPr>
                <w:rFonts w:cs="Times New Roman"/>
                <w:sz w:val="24"/>
                <w:szCs w:val="24"/>
                <w:lang w:val="lv-LV"/>
              </w:rPr>
              <w:t>Sadarbības</w:t>
            </w:r>
            <w:r w:rsidRPr="001B4029">
              <w:rPr>
                <w:rFonts w:cs="Times New Roman"/>
                <w:b w:val="0"/>
                <w:bCs/>
                <w:sz w:val="24"/>
                <w:szCs w:val="24"/>
                <w:lang w:val="lv-LV"/>
              </w:rPr>
              <w:t xml:space="preserve"> nodrošināšana ar sadarbības partneriem projekta ietvaros </w:t>
            </w:r>
          </w:p>
          <w:p w14:paraId="76217E06" w14:textId="67D77130" w:rsidR="009C04DD" w:rsidRPr="001B4029" w:rsidRDefault="009C04DD" w:rsidP="009C04DD">
            <w:pPr>
              <w:jc w:val="both"/>
              <w:rPr>
                <w:rFonts w:ascii="Times New Roman" w:hAnsi="Times New Roman" w:cs="Times New Roman"/>
                <w:i/>
                <w:iCs/>
                <w:sz w:val="24"/>
                <w:szCs w:val="24"/>
                <w:lang w:val="lv-LV"/>
              </w:rPr>
            </w:pPr>
            <w:r w:rsidRPr="001B4029">
              <w:rPr>
                <w:rFonts w:ascii="Times New Roman" w:hAnsi="Times New Roman" w:cs="Times New Roman"/>
                <w:i/>
                <w:iCs/>
                <w:sz w:val="24"/>
                <w:szCs w:val="24"/>
                <w:lang w:val="lv-LV"/>
              </w:rPr>
              <w:t>(Īsi apraksta, kā plāno piesaistīt sadarbības partnerus. Jaunu sadarbību veidošana, to galvenie izvēles faktori, apraksta plānotās darbības sadarbības veicināšanai ar viedās specializācijas ilgtermiņa stratēģijas jomas pārstāvjiem)</w:t>
            </w:r>
          </w:p>
        </w:tc>
      </w:tr>
      <w:tr w:rsidR="009C04DD" w:rsidRPr="001B4029" w14:paraId="42A1C9B9" w14:textId="77777777" w:rsidTr="003F48B2">
        <w:tc>
          <w:tcPr>
            <w:tcW w:w="9350" w:type="dxa"/>
            <w:gridSpan w:val="4"/>
          </w:tcPr>
          <w:p w14:paraId="30D662E1" w14:textId="77777777" w:rsidR="009C04DD" w:rsidRPr="001B4029" w:rsidRDefault="009C04DD" w:rsidP="009C04DD">
            <w:pPr>
              <w:jc w:val="both"/>
              <w:rPr>
                <w:rStyle w:val="Virsraksts3Rakstz"/>
                <w:b w:val="0"/>
                <w:bCs/>
                <w:sz w:val="24"/>
                <w:szCs w:val="24"/>
                <w:lang w:val="lv-LV"/>
              </w:rPr>
            </w:pPr>
          </w:p>
          <w:p w14:paraId="41CFE2FC" w14:textId="77777777" w:rsidR="00B73683" w:rsidRDefault="00F20978" w:rsidP="00F20978">
            <w:pPr>
              <w:spacing w:before="120" w:after="120"/>
              <w:jc w:val="both"/>
              <w:rPr>
                <w:rStyle w:val="Virsraksts3Rakstz"/>
                <w:b w:val="0"/>
                <w:bCs/>
                <w:sz w:val="24"/>
                <w:szCs w:val="24"/>
                <w:lang w:val="lv-LV"/>
              </w:rPr>
            </w:pPr>
            <w:r w:rsidRPr="00F20978">
              <w:rPr>
                <w:rStyle w:val="Virsraksts3Rakstz"/>
                <w:b w:val="0"/>
                <w:sz w:val="24"/>
                <w:szCs w:val="24"/>
                <w:lang w:val="lv-LV"/>
              </w:rPr>
              <w:t>Sadarbības partneru</w:t>
            </w:r>
            <w:r>
              <w:rPr>
                <w:rStyle w:val="Virsraksts3Rakstz"/>
                <w:b w:val="0"/>
                <w:sz w:val="24"/>
                <w:szCs w:val="24"/>
                <w:lang w:val="lv-LV"/>
              </w:rPr>
              <w:t>s – pētniecības projektu īstenotājus,</w:t>
            </w:r>
            <w:r w:rsidRPr="00F20978">
              <w:rPr>
                <w:rStyle w:val="Virsraksts3Rakstz"/>
                <w:b w:val="0"/>
                <w:sz w:val="24"/>
                <w:szCs w:val="24"/>
                <w:lang w:val="lv-LV"/>
              </w:rPr>
              <w:t xml:space="preserve"> plānots piesaistīt</w:t>
            </w:r>
            <w:r>
              <w:rPr>
                <w:rStyle w:val="Virsraksts3Rakstz"/>
                <w:b w:val="0"/>
                <w:sz w:val="24"/>
                <w:szCs w:val="24"/>
                <w:lang w:val="lv-LV"/>
              </w:rPr>
              <w:t xml:space="preserve">, veicot </w:t>
            </w:r>
            <w:r w:rsidRPr="0076105D">
              <w:rPr>
                <w:rStyle w:val="Virsraksts3Rakstz"/>
                <w:b w:val="0"/>
                <w:bCs/>
                <w:sz w:val="24"/>
                <w:szCs w:val="24"/>
                <w:lang w:val="lv-LV"/>
              </w:rPr>
              <w:t>atklātu pētniecības p</w:t>
            </w:r>
            <w:r>
              <w:rPr>
                <w:rStyle w:val="Virsraksts3Rakstz"/>
                <w:b w:val="0"/>
                <w:bCs/>
                <w:sz w:val="24"/>
                <w:szCs w:val="24"/>
                <w:lang w:val="lv-LV"/>
              </w:rPr>
              <w:t xml:space="preserve">rojektu iesniegumu atlasi. </w:t>
            </w:r>
          </w:p>
          <w:p w14:paraId="6BD5B6C6" w14:textId="67AA78BC" w:rsidR="00F20978" w:rsidRDefault="00F20978" w:rsidP="00F20978">
            <w:pPr>
              <w:spacing w:before="120" w:after="120"/>
              <w:jc w:val="both"/>
              <w:rPr>
                <w:rStyle w:val="Virsraksts3Rakstz"/>
                <w:b w:val="0"/>
                <w:bCs/>
                <w:sz w:val="24"/>
                <w:szCs w:val="24"/>
                <w:lang w:val="lv-LV"/>
              </w:rPr>
            </w:pPr>
            <w:r w:rsidRPr="00F20978">
              <w:rPr>
                <w:rStyle w:val="Virsraksts3Rakstz"/>
                <w:b w:val="0"/>
                <w:bCs/>
                <w:sz w:val="24"/>
                <w:szCs w:val="24"/>
                <w:lang w:val="lv-LV"/>
              </w:rPr>
              <w:t xml:space="preserve">Pēc projekta iesnieguma iesniegšanas </w:t>
            </w:r>
            <w:r>
              <w:rPr>
                <w:rStyle w:val="Virsraksts3Rakstz"/>
                <w:b w:val="0"/>
                <w:bCs/>
                <w:sz w:val="24"/>
                <w:szCs w:val="24"/>
                <w:lang w:val="lv-LV"/>
              </w:rPr>
              <w:t>Kompetences centrs</w:t>
            </w:r>
            <w:r w:rsidRPr="00F20978">
              <w:rPr>
                <w:rStyle w:val="Virsraksts3Rakstz"/>
                <w:b w:val="0"/>
                <w:bCs/>
                <w:sz w:val="24"/>
                <w:szCs w:val="24"/>
                <w:lang w:val="lv-LV"/>
              </w:rPr>
              <w:t xml:space="preserve"> sadarbības partneru piesaistei organizē</w:t>
            </w:r>
            <w:r w:rsidR="00B73683">
              <w:rPr>
                <w:rStyle w:val="Virsraksts3Rakstz"/>
                <w:b w:val="0"/>
                <w:bCs/>
                <w:sz w:val="24"/>
                <w:szCs w:val="24"/>
                <w:lang w:val="lv-LV"/>
              </w:rPr>
              <w:t>s atklātas</w:t>
            </w:r>
            <w:r>
              <w:rPr>
                <w:rStyle w:val="Virsraksts3Rakstz"/>
                <w:b w:val="0"/>
                <w:bCs/>
                <w:sz w:val="24"/>
                <w:szCs w:val="24"/>
                <w:lang w:val="lv-LV"/>
              </w:rPr>
              <w:t xml:space="preserve"> </w:t>
            </w:r>
            <w:r w:rsidR="00B73683">
              <w:rPr>
                <w:rStyle w:val="Virsraksts3Rakstz"/>
                <w:b w:val="0"/>
                <w:bCs/>
                <w:sz w:val="24"/>
                <w:szCs w:val="24"/>
                <w:lang w:val="lv-LV"/>
              </w:rPr>
              <w:t>projektu iesniegumu atlases</w:t>
            </w:r>
            <w:r w:rsidRPr="00F20978">
              <w:rPr>
                <w:rStyle w:val="Virsraksts3Rakstz"/>
                <w:b w:val="0"/>
                <w:bCs/>
                <w:sz w:val="24"/>
                <w:szCs w:val="24"/>
                <w:lang w:val="lv-LV"/>
              </w:rPr>
              <w:t>, publicējot oficiālajā izdevumā "Latvijas Vēstnesis" un projekta iesniedzēja tīmekļvietnē</w:t>
            </w:r>
            <w:r>
              <w:rPr>
                <w:rStyle w:val="Virsraksts3Rakstz"/>
                <w:b w:val="0"/>
                <w:bCs/>
                <w:sz w:val="24"/>
                <w:szCs w:val="24"/>
                <w:lang w:val="lv-LV"/>
              </w:rPr>
              <w:t xml:space="preserve"> </w:t>
            </w:r>
            <w:hyperlink r:id="rId13" w:history="1">
              <w:r w:rsidRPr="00C15644">
                <w:rPr>
                  <w:rStyle w:val="Hipersaite"/>
                  <w:rFonts w:ascii="Times New Roman" w:hAnsi="Times New Roman" w:cs="Times New Roman"/>
                  <w:bCs/>
                  <w:sz w:val="24"/>
                  <w:szCs w:val="24"/>
                  <w:lang w:val="lv-LV"/>
                </w:rPr>
                <w:t>www.masoc.lv</w:t>
              </w:r>
            </w:hyperlink>
            <w:r>
              <w:rPr>
                <w:rStyle w:val="Virsraksts3Rakstz"/>
                <w:b w:val="0"/>
                <w:bCs/>
                <w:sz w:val="24"/>
                <w:szCs w:val="24"/>
                <w:lang w:val="lv-LV"/>
              </w:rPr>
              <w:t xml:space="preserve"> </w:t>
            </w:r>
            <w:r w:rsidRPr="00F20978">
              <w:rPr>
                <w:rStyle w:val="Virsraksts3Rakstz"/>
                <w:b w:val="0"/>
                <w:bCs/>
                <w:sz w:val="24"/>
                <w:szCs w:val="24"/>
                <w:lang w:val="lv-LV"/>
              </w:rPr>
              <w:t>informāciju par pētniecības projektu iesniegumu atlases izsludināšanu, pagarināšanu, pārtraukšanu vai izbeigšanu,</w:t>
            </w:r>
            <w:r>
              <w:rPr>
                <w:rStyle w:val="Virsraksts3Rakstz"/>
                <w:b w:val="0"/>
                <w:bCs/>
                <w:sz w:val="24"/>
                <w:szCs w:val="24"/>
                <w:lang w:val="lv-LV"/>
              </w:rPr>
              <w:t xml:space="preserve"> </w:t>
            </w:r>
            <w:r w:rsidRPr="00F20978">
              <w:rPr>
                <w:rStyle w:val="Virsraksts3Rakstz"/>
                <w:b w:val="0"/>
                <w:bCs/>
                <w:sz w:val="24"/>
                <w:szCs w:val="24"/>
                <w:lang w:val="lv-LV"/>
              </w:rPr>
              <w:t xml:space="preserve">pievienojot saiti uz pētniecības projektu vērtēšanas kritērijiem. Pētniecības projektu iesniegumu iesniegšanai </w:t>
            </w:r>
            <w:r>
              <w:rPr>
                <w:rStyle w:val="Virsraksts3Rakstz"/>
                <w:b w:val="0"/>
                <w:bCs/>
                <w:sz w:val="24"/>
                <w:szCs w:val="24"/>
                <w:lang w:val="lv-LV"/>
              </w:rPr>
              <w:t>Kompetences centrs</w:t>
            </w:r>
            <w:r w:rsidR="00B73683">
              <w:rPr>
                <w:rStyle w:val="Virsraksts3Rakstz"/>
                <w:b w:val="0"/>
                <w:bCs/>
                <w:sz w:val="24"/>
                <w:szCs w:val="24"/>
                <w:lang w:val="lv-LV"/>
              </w:rPr>
              <w:t xml:space="preserve"> noteiks</w:t>
            </w:r>
            <w:r w:rsidRPr="00F20978">
              <w:rPr>
                <w:rStyle w:val="Virsraksts3Rakstz"/>
                <w:b w:val="0"/>
                <w:bCs/>
                <w:sz w:val="24"/>
                <w:szCs w:val="24"/>
                <w:lang w:val="lv-LV"/>
              </w:rPr>
              <w:t xml:space="preserve"> termiņu, kas nav īsāks par vienu mēnesi.</w:t>
            </w:r>
          </w:p>
          <w:p w14:paraId="7B57731A" w14:textId="1222CC47" w:rsidR="00B73683" w:rsidRDefault="00B73683" w:rsidP="00F20978">
            <w:pPr>
              <w:spacing w:before="120" w:after="120"/>
              <w:jc w:val="both"/>
              <w:rPr>
                <w:rStyle w:val="Virsraksts3Rakstz"/>
                <w:b w:val="0"/>
                <w:bCs/>
                <w:sz w:val="24"/>
                <w:szCs w:val="24"/>
                <w:lang w:val="lv-LV"/>
              </w:rPr>
            </w:pPr>
            <w:r>
              <w:rPr>
                <w:rStyle w:val="Virsraksts3Rakstz"/>
                <w:b w:val="0"/>
                <w:bCs/>
                <w:sz w:val="24"/>
                <w:szCs w:val="24"/>
                <w:lang w:val="lv-LV"/>
              </w:rPr>
              <w:t xml:space="preserve">Pētniecības projektu iesniedzēji tiks vērtēti saskaņā ar izstrādātajiem pētniecības projektu atlases kritērijiem. MASOC un Kompetences centrs kopš tā darbības uzsākšanas īpašu uzmanību pievērš jaunu sadarbības partneru piesaistei, regulāri informējot nozares komersantus par iespējām saņemt atbalsta finansējumu un sniedzot informāciju par Kompetences centru. Tāpat </w:t>
            </w:r>
            <w:r w:rsidRPr="00B73683">
              <w:rPr>
                <w:rStyle w:val="Virsraksts3Rakstz"/>
                <w:b w:val="0"/>
                <w:bCs/>
                <w:sz w:val="24"/>
                <w:szCs w:val="24"/>
                <w:lang w:val="lv-LV"/>
              </w:rPr>
              <w:t xml:space="preserve">ir </w:t>
            </w:r>
            <w:r>
              <w:rPr>
                <w:rStyle w:val="Virsraksts3Rakstz"/>
                <w:b w:val="0"/>
                <w:bCs/>
                <w:sz w:val="24"/>
                <w:szCs w:val="24"/>
                <w:lang w:val="lv-LV"/>
              </w:rPr>
              <w:t xml:space="preserve">ticis </w:t>
            </w:r>
            <w:r w:rsidRPr="00B73683">
              <w:rPr>
                <w:rStyle w:val="Virsraksts3Rakstz"/>
                <w:b w:val="0"/>
                <w:bCs/>
                <w:sz w:val="24"/>
                <w:szCs w:val="24"/>
                <w:lang w:val="lv-LV"/>
              </w:rPr>
              <w:t>izstrādāt</w:t>
            </w:r>
            <w:r>
              <w:rPr>
                <w:rStyle w:val="Virsraksts3Rakstz"/>
                <w:b w:val="0"/>
                <w:bCs/>
                <w:sz w:val="24"/>
                <w:szCs w:val="24"/>
                <w:lang w:val="lv-LV"/>
              </w:rPr>
              <w:t>s</w:t>
            </w:r>
            <w:r w:rsidRPr="00B73683">
              <w:rPr>
                <w:rStyle w:val="Virsraksts3Rakstz"/>
                <w:b w:val="0"/>
                <w:bCs/>
                <w:sz w:val="24"/>
                <w:szCs w:val="24"/>
                <w:lang w:val="lv-LV"/>
              </w:rPr>
              <w:t xml:space="preserve"> un izdot</w:t>
            </w:r>
            <w:r>
              <w:rPr>
                <w:rStyle w:val="Virsraksts3Rakstz"/>
                <w:b w:val="0"/>
                <w:bCs/>
                <w:sz w:val="24"/>
                <w:szCs w:val="24"/>
                <w:lang w:val="lv-LV"/>
              </w:rPr>
              <w:t>s buklets</w:t>
            </w:r>
            <w:r w:rsidRPr="00B73683">
              <w:rPr>
                <w:rStyle w:val="Virsraksts3Rakstz"/>
                <w:b w:val="0"/>
                <w:bCs/>
                <w:sz w:val="24"/>
                <w:szCs w:val="24"/>
                <w:lang w:val="lv-LV"/>
              </w:rPr>
              <w:t xml:space="preserve"> latviešu un angļu valodā, kas pieejams drukātā un elektroniskā f</w:t>
            </w:r>
            <w:r>
              <w:rPr>
                <w:rStyle w:val="Virsraksts3Rakstz"/>
                <w:b w:val="0"/>
                <w:bCs/>
                <w:sz w:val="24"/>
                <w:szCs w:val="24"/>
                <w:lang w:val="lv-LV"/>
              </w:rPr>
              <w:t>ormā un sniedz</w:t>
            </w:r>
            <w:r w:rsidRPr="00B73683">
              <w:rPr>
                <w:rStyle w:val="Virsraksts3Rakstz"/>
                <w:b w:val="0"/>
                <w:bCs/>
                <w:sz w:val="24"/>
                <w:szCs w:val="24"/>
                <w:lang w:val="lv-LV"/>
              </w:rPr>
              <w:t xml:space="preserve"> pārskatu par līdz šim īstenotajiem projektiem un Kompetences centra darbību kopumā.</w:t>
            </w:r>
            <w:r>
              <w:rPr>
                <w:rStyle w:val="Virsraksts3Rakstz"/>
                <w:b w:val="0"/>
                <w:bCs/>
                <w:sz w:val="24"/>
                <w:szCs w:val="24"/>
                <w:lang w:val="lv-LV"/>
              </w:rPr>
              <w:t xml:space="preserve"> Šādu bukletu paredzēts veidot projektā, kuru paredzēts noslēgt 2024.</w:t>
            </w:r>
            <w:r w:rsidR="005D612F">
              <w:rPr>
                <w:rStyle w:val="Virsraksts3Rakstz"/>
                <w:b w:val="0"/>
                <w:bCs/>
                <w:sz w:val="24"/>
                <w:szCs w:val="24"/>
                <w:lang w:val="lv-LV"/>
              </w:rPr>
              <w:t xml:space="preserve"> </w:t>
            </w:r>
            <w:r>
              <w:rPr>
                <w:rStyle w:val="Virsraksts3Rakstz"/>
                <w:b w:val="0"/>
                <w:bCs/>
                <w:sz w:val="24"/>
                <w:szCs w:val="24"/>
                <w:lang w:val="lv-LV"/>
              </w:rPr>
              <w:t>gadā, kā arī projektā “Mašīnbūves kompetences centra atbalsts pētniecībai”.</w:t>
            </w:r>
          </w:p>
          <w:p w14:paraId="1C8C8290" w14:textId="77777777" w:rsidR="009C04DD" w:rsidRDefault="00F20978" w:rsidP="00B73683">
            <w:pPr>
              <w:jc w:val="both"/>
              <w:rPr>
                <w:rStyle w:val="Virsraksts3Rakstz"/>
                <w:b w:val="0"/>
                <w:bCs/>
                <w:sz w:val="24"/>
                <w:szCs w:val="24"/>
                <w:lang w:val="lv-LV"/>
              </w:rPr>
            </w:pPr>
            <w:r w:rsidRPr="00B73683">
              <w:rPr>
                <w:rStyle w:val="Virsraksts3Rakstz"/>
                <w:b w:val="0"/>
                <w:sz w:val="24"/>
                <w:szCs w:val="24"/>
                <w:lang w:val="lv-LV"/>
              </w:rPr>
              <w:t>Sadarbības veicināšanai</w:t>
            </w:r>
            <w:r w:rsidRPr="0076105D">
              <w:rPr>
                <w:rStyle w:val="Virsraksts3Rakstz"/>
                <w:b w:val="0"/>
                <w:bCs/>
                <w:sz w:val="24"/>
                <w:szCs w:val="24"/>
                <w:lang w:val="lv-LV"/>
              </w:rPr>
              <w:t xml:space="preserve"> ar viedās specializācijas ilgtermiņa stratēģijas jomas pārstāvjiem plānots informēt jomas </w:t>
            </w:r>
            <w:r w:rsidR="00B73683">
              <w:rPr>
                <w:rStyle w:val="Virsraksts3Rakstz"/>
                <w:b w:val="0"/>
                <w:bCs/>
                <w:sz w:val="24"/>
                <w:szCs w:val="24"/>
                <w:lang w:val="lv-LV"/>
              </w:rPr>
              <w:t xml:space="preserve">partnerus </w:t>
            </w:r>
            <w:r w:rsidRPr="0076105D">
              <w:rPr>
                <w:rStyle w:val="Virsraksts3Rakstz"/>
                <w:b w:val="0"/>
                <w:bCs/>
                <w:sz w:val="24"/>
                <w:szCs w:val="24"/>
                <w:lang w:val="lv-LV"/>
              </w:rPr>
              <w:t>par izsludinātajām pētniecības projektu atlasēm un pētniecības projektu apstiprināšanas komisijas locekļu atlasēm, tādējādi veicinot citu viedās specializācijas ilgtermiņa stratēģijas jomas pārstāvju iesaisti pētniecības projektu un to rezultātu vērtēšanā.</w:t>
            </w:r>
          </w:p>
          <w:p w14:paraId="5D73E840" w14:textId="58CBC68A" w:rsidR="00B73683" w:rsidRPr="001B4029" w:rsidRDefault="00B73683" w:rsidP="00B73683">
            <w:pPr>
              <w:jc w:val="both"/>
              <w:rPr>
                <w:rStyle w:val="Virsraksts3Rakstz"/>
                <w:b w:val="0"/>
                <w:bCs/>
                <w:sz w:val="24"/>
                <w:szCs w:val="24"/>
                <w:lang w:val="lv-LV"/>
              </w:rPr>
            </w:pPr>
          </w:p>
        </w:tc>
      </w:tr>
      <w:tr w:rsidR="009C04DD" w:rsidRPr="001B4029" w14:paraId="6FBF9A79" w14:textId="77777777" w:rsidTr="003F48B2">
        <w:tc>
          <w:tcPr>
            <w:tcW w:w="9350" w:type="dxa"/>
            <w:gridSpan w:val="4"/>
            <w:shd w:val="clear" w:color="auto" w:fill="D9D9D9" w:themeFill="background1" w:themeFillShade="D9"/>
          </w:tcPr>
          <w:p w14:paraId="7E216422" w14:textId="77777777" w:rsidR="009C04DD" w:rsidRPr="001B4029" w:rsidRDefault="009C04DD" w:rsidP="009C04DD">
            <w:pPr>
              <w:pStyle w:val="Sarakstarindkopa"/>
              <w:numPr>
                <w:ilvl w:val="0"/>
                <w:numId w:val="4"/>
              </w:numPr>
              <w:ind w:left="451"/>
              <w:jc w:val="both"/>
              <w:rPr>
                <w:rFonts w:cs="Times New Roman"/>
                <w:b w:val="0"/>
                <w:bCs/>
                <w:sz w:val="24"/>
                <w:szCs w:val="24"/>
                <w:lang w:val="lv-LV"/>
              </w:rPr>
            </w:pPr>
            <w:r w:rsidRPr="001B4029">
              <w:rPr>
                <w:rFonts w:cs="Times New Roman"/>
                <w:sz w:val="24"/>
                <w:szCs w:val="24"/>
                <w:lang w:val="lv-LV"/>
              </w:rPr>
              <w:t>Plānotie</w:t>
            </w:r>
            <w:r w:rsidRPr="001B4029">
              <w:rPr>
                <w:rFonts w:cs="Times New Roman"/>
                <w:b w:val="0"/>
                <w:bCs/>
                <w:sz w:val="24"/>
                <w:szCs w:val="24"/>
                <w:lang w:val="lv-LV"/>
              </w:rPr>
              <w:t xml:space="preserve"> rezultāti</w:t>
            </w:r>
          </w:p>
          <w:p w14:paraId="1E6A515A" w14:textId="7A739770" w:rsidR="009C04DD" w:rsidRPr="001B4029" w:rsidRDefault="009C04DD" w:rsidP="009C04DD">
            <w:pPr>
              <w:jc w:val="both"/>
              <w:rPr>
                <w:rFonts w:ascii="Times New Roman" w:hAnsi="Times New Roman" w:cs="Times New Roman"/>
                <w:sz w:val="24"/>
                <w:szCs w:val="24"/>
                <w:lang w:val="lv-LV"/>
              </w:rPr>
            </w:pPr>
            <w:r w:rsidRPr="001B4029">
              <w:rPr>
                <w:rFonts w:ascii="Times New Roman" w:hAnsi="Times New Roman" w:cs="Times New Roman"/>
                <w:i/>
                <w:iCs/>
                <w:sz w:val="24"/>
                <w:szCs w:val="24"/>
                <w:lang w:val="lv-LV"/>
              </w:rPr>
              <w:lastRenderedPageBreak/>
              <w:t>(identificē plānotos rezultātus saskaņā ar MK noteikumiem un apraksta, kā plāno sasniegt rezultātus)</w:t>
            </w:r>
          </w:p>
        </w:tc>
      </w:tr>
      <w:tr w:rsidR="009C04DD" w:rsidRPr="001B4029" w14:paraId="26041E0D" w14:textId="77777777" w:rsidTr="003F48B2">
        <w:tc>
          <w:tcPr>
            <w:tcW w:w="9350" w:type="dxa"/>
            <w:gridSpan w:val="4"/>
          </w:tcPr>
          <w:p w14:paraId="509A8E2A" w14:textId="19C9B11C" w:rsidR="00655FA4" w:rsidRPr="00022EF5" w:rsidRDefault="00655FA4" w:rsidP="004A507D">
            <w:pPr>
              <w:spacing w:before="120" w:after="1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w:t>
            </w:r>
            <w:r w:rsidRPr="00B753F8">
              <w:rPr>
                <w:rFonts w:ascii="Times New Roman" w:hAnsi="Times New Roman" w:cs="Times New Roman"/>
                <w:sz w:val="24"/>
                <w:szCs w:val="24"/>
                <w:lang w:val="lv-LV"/>
              </w:rPr>
              <w:t xml:space="preserve">rojektā </w:t>
            </w:r>
            <w:r>
              <w:rPr>
                <w:rFonts w:ascii="Times New Roman" w:hAnsi="Times New Roman" w:cs="Times New Roman"/>
                <w:sz w:val="24"/>
                <w:szCs w:val="24"/>
                <w:lang w:val="lv-LV"/>
              </w:rPr>
              <w:t xml:space="preserve">“Mašīnbūves kompetences centra atbalsts pētniecībai” </w:t>
            </w:r>
            <w:r w:rsidRPr="00B753F8">
              <w:rPr>
                <w:rFonts w:ascii="Times New Roman" w:hAnsi="Times New Roman" w:cs="Times New Roman"/>
                <w:sz w:val="24"/>
                <w:szCs w:val="24"/>
                <w:lang w:val="lv-LV"/>
              </w:rPr>
              <w:t xml:space="preserve">plānots </w:t>
            </w:r>
            <w:r w:rsidRPr="00022EF5">
              <w:rPr>
                <w:rFonts w:ascii="Times New Roman" w:hAnsi="Times New Roman" w:cs="Times New Roman"/>
                <w:bCs/>
                <w:sz w:val="24"/>
                <w:szCs w:val="24"/>
                <w:lang w:val="lv-LV"/>
              </w:rPr>
              <w:t>sasniegt šādus rezultātus</w:t>
            </w:r>
            <w:r w:rsidRPr="00022EF5">
              <w:rPr>
                <w:rFonts w:ascii="Times New Roman" w:hAnsi="Times New Roman" w:cs="Times New Roman"/>
                <w:sz w:val="24"/>
                <w:szCs w:val="24"/>
                <w:lang w:val="lv-LV"/>
              </w:rPr>
              <w:t>:</w:t>
            </w:r>
          </w:p>
          <w:p w14:paraId="544CC044" w14:textId="23C0684B" w:rsidR="00655FA4" w:rsidRPr="00022EF5" w:rsidRDefault="00655FA4" w:rsidP="004A507D">
            <w:pPr>
              <w:pStyle w:val="Sarakstarindkopa"/>
              <w:numPr>
                <w:ilvl w:val="0"/>
                <w:numId w:val="12"/>
              </w:numPr>
              <w:spacing w:before="120" w:after="120"/>
              <w:ind w:left="315" w:hanging="315"/>
              <w:contextualSpacing w:val="0"/>
              <w:jc w:val="both"/>
              <w:rPr>
                <w:rFonts w:cs="Times New Roman"/>
                <w:b w:val="0"/>
                <w:bCs/>
                <w:sz w:val="24"/>
                <w:szCs w:val="24"/>
                <w:lang w:val="lv-LV"/>
              </w:rPr>
            </w:pPr>
            <w:r w:rsidRPr="00022EF5">
              <w:rPr>
                <w:rFonts w:cs="Times New Roman"/>
                <w:b w:val="0"/>
                <w:bCs/>
                <w:sz w:val="24"/>
                <w:szCs w:val="24"/>
                <w:lang w:val="lv-LV"/>
              </w:rPr>
              <w:t xml:space="preserve">līdz 2024. gada 31. decembrim apstiprinātas saistības </w:t>
            </w:r>
            <w:r w:rsidR="00821861" w:rsidRPr="00821861">
              <w:rPr>
                <w:rFonts w:cs="Times New Roman"/>
                <w:b w:val="0"/>
                <w:sz w:val="24"/>
                <w:szCs w:val="24"/>
                <w:lang w:val="lv-LV"/>
              </w:rPr>
              <w:t>5</w:t>
            </w:r>
            <w:r w:rsidR="00821861">
              <w:rPr>
                <w:rFonts w:cs="Times New Roman"/>
                <w:b w:val="0"/>
                <w:sz w:val="24"/>
                <w:szCs w:val="24"/>
                <w:lang w:val="lv-LV"/>
              </w:rPr>
              <w:t> </w:t>
            </w:r>
            <w:r w:rsidR="00821861" w:rsidRPr="00821861">
              <w:rPr>
                <w:rFonts w:cs="Times New Roman"/>
                <w:b w:val="0"/>
                <w:sz w:val="24"/>
                <w:szCs w:val="24"/>
                <w:lang w:val="lv-LV"/>
              </w:rPr>
              <w:t>957</w:t>
            </w:r>
            <w:r w:rsidR="00821861">
              <w:rPr>
                <w:rFonts w:cs="Times New Roman"/>
                <w:b w:val="0"/>
                <w:sz w:val="24"/>
                <w:szCs w:val="24"/>
                <w:lang w:val="lv-LV"/>
              </w:rPr>
              <w:t xml:space="preserve"> </w:t>
            </w:r>
            <w:r w:rsidR="00821861" w:rsidRPr="00821861">
              <w:rPr>
                <w:rFonts w:cs="Times New Roman"/>
                <w:b w:val="0"/>
                <w:sz w:val="24"/>
                <w:szCs w:val="24"/>
                <w:lang w:val="lv-LV"/>
              </w:rPr>
              <w:t>956</w:t>
            </w:r>
            <w:r w:rsidR="00821861">
              <w:rPr>
                <w:rFonts w:cs="Times New Roman"/>
                <w:b w:val="0"/>
                <w:sz w:val="24"/>
                <w:szCs w:val="24"/>
                <w:lang w:val="lv-LV"/>
              </w:rPr>
              <w:t xml:space="preserve"> </w:t>
            </w:r>
            <w:proofErr w:type="spellStart"/>
            <w:r w:rsidRPr="00022EF5">
              <w:rPr>
                <w:rFonts w:cs="Times New Roman"/>
                <w:b w:val="0"/>
                <w:sz w:val="24"/>
                <w:szCs w:val="24"/>
                <w:lang w:val="lv-LV"/>
              </w:rPr>
              <w:t>euro</w:t>
            </w:r>
            <w:proofErr w:type="spellEnd"/>
            <w:r w:rsidRPr="00022EF5">
              <w:rPr>
                <w:rFonts w:cs="Times New Roman"/>
                <w:b w:val="0"/>
                <w:bCs/>
                <w:sz w:val="24"/>
                <w:szCs w:val="24"/>
                <w:lang w:val="lv-LV"/>
              </w:rPr>
              <w:t xml:space="preserve"> apmērā. </w:t>
            </w:r>
            <w:r w:rsidR="00821861">
              <w:rPr>
                <w:rFonts w:cs="Times New Roman"/>
                <w:b w:val="0"/>
                <w:bCs/>
                <w:sz w:val="24"/>
                <w:szCs w:val="24"/>
                <w:lang w:val="lv-LV"/>
              </w:rPr>
              <w:t>R</w:t>
            </w:r>
            <w:r w:rsidRPr="00022EF5">
              <w:rPr>
                <w:rFonts w:cs="Times New Roman"/>
                <w:b w:val="0"/>
                <w:bCs/>
                <w:sz w:val="24"/>
                <w:szCs w:val="24"/>
                <w:lang w:val="lv-LV"/>
              </w:rPr>
              <w:t>ezultāta sasniegšanu</w:t>
            </w:r>
            <w:r w:rsidR="00821861">
              <w:rPr>
                <w:rFonts w:cs="Times New Roman"/>
                <w:b w:val="0"/>
                <w:bCs/>
                <w:sz w:val="24"/>
                <w:szCs w:val="24"/>
                <w:lang w:val="lv-LV"/>
              </w:rPr>
              <w:t xml:space="preserve"> apliecina noslēgts </w:t>
            </w:r>
            <w:r w:rsidRPr="00022EF5">
              <w:rPr>
                <w:rFonts w:cs="Times New Roman"/>
                <w:b w:val="0"/>
                <w:bCs/>
                <w:sz w:val="24"/>
                <w:szCs w:val="24"/>
                <w:lang w:val="lv-LV"/>
              </w:rPr>
              <w:t>līgum</w:t>
            </w:r>
            <w:r w:rsidR="00821861">
              <w:rPr>
                <w:rFonts w:cs="Times New Roman"/>
                <w:b w:val="0"/>
                <w:bCs/>
                <w:sz w:val="24"/>
                <w:szCs w:val="24"/>
                <w:lang w:val="lv-LV"/>
              </w:rPr>
              <w:t>s</w:t>
            </w:r>
            <w:r w:rsidRPr="00022EF5">
              <w:rPr>
                <w:rFonts w:cs="Times New Roman"/>
                <w:b w:val="0"/>
                <w:bCs/>
                <w:sz w:val="24"/>
                <w:szCs w:val="24"/>
                <w:lang w:val="lv-LV"/>
              </w:rPr>
              <w:t xml:space="preserve"> ar </w:t>
            </w:r>
            <w:r w:rsidR="004A507D" w:rsidRPr="00022EF5">
              <w:rPr>
                <w:rFonts w:cs="Times New Roman"/>
                <w:b w:val="0"/>
                <w:bCs/>
                <w:sz w:val="24"/>
                <w:szCs w:val="24"/>
                <w:lang w:val="lv-LV"/>
              </w:rPr>
              <w:t>Centrālo finanšu un līgumu aģentūru</w:t>
            </w:r>
            <w:r w:rsidRPr="00022EF5">
              <w:rPr>
                <w:rFonts w:cs="Times New Roman"/>
                <w:b w:val="0"/>
                <w:bCs/>
                <w:sz w:val="24"/>
                <w:szCs w:val="24"/>
                <w:lang w:val="lv-LV"/>
              </w:rPr>
              <w:t>;</w:t>
            </w:r>
          </w:p>
          <w:p w14:paraId="1F78D6D5" w14:textId="21ACF6F2" w:rsidR="00655FA4" w:rsidRPr="00022EF5" w:rsidRDefault="00655FA4" w:rsidP="004A507D">
            <w:pPr>
              <w:pStyle w:val="Sarakstarindkopa"/>
              <w:numPr>
                <w:ilvl w:val="0"/>
                <w:numId w:val="12"/>
              </w:numPr>
              <w:spacing w:before="120" w:after="120"/>
              <w:ind w:left="315" w:hanging="315"/>
              <w:contextualSpacing w:val="0"/>
              <w:jc w:val="both"/>
              <w:rPr>
                <w:rFonts w:cs="Times New Roman"/>
                <w:b w:val="0"/>
                <w:bCs/>
                <w:sz w:val="24"/>
                <w:szCs w:val="24"/>
                <w:lang w:val="lv-LV"/>
              </w:rPr>
            </w:pPr>
            <w:r w:rsidRPr="00022EF5">
              <w:rPr>
                <w:rFonts w:cs="Times New Roman"/>
                <w:b w:val="0"/>
                <w:bCs/>
                <w:sz w:val="24"/>
                <w:szCs w:val="24"/>
                <w:lang w:val="lv-LV"/>
              </w:rPr>
              <w:t xml:space="preserve">līdz 2025. gada 30. jūnijam apstiprinātas saistības </w:t>
            </w:r>
            <w:r w:rsidR="00821861" w:rsidRPr="00821861">
              <w:rPr>
                <w:rFonts w:cs="Times New Roman"/>
                <w:b w:val="0"/>
                <w:sz w:val="24"/>
                <w:szCs w:val="24"/>
                <w:lang w:val="lv-LV"/>
              </w:rPr>
              <w:t xml:space="preserve">5 957 956 </w:t>
            </w:r>
            <w:proofErr w:type="spellStart"/>
            <w:r w:rsidRPr="00022EF5">
              <w:rPr>
                <w:rFonts w:cs="Times New Roman"/>
                <w:b w:val="0"/>
                <w:sz w:val="24"/>
                <w:szCs w:val="24"/>
                <w:lang w:val="lv-LV"/>
              </w:rPr>
              <w:t>euro</w:t>
            </w:r>
            <w:proofErr w:type="spellEnd"/>
            <w:r w:rsidRPr="00022EF5">
              <w:rPr>
                <w:rFonts w:cs="Times New Roman"/>
                <w:b w:val="0"/>
                <w:bCs/>
                <w:sz w:val="24"/>
                <w:szCs w:val="24"/>
                <w:lang w:val="lv-LV"/>
              </w:rPr>
              <w:t xml:space="preserve"> apmērā. </w:t>
            </w:r>
            <w:r w:rsidR="00821861">
              <w:rPr>
                <w:rFonts w:cs="Times New Roman"/>
                <w:b w:val="0"/>
                <w:bCs/>
                <w:sz w:val="24"/>
                <w:szCs w:val="24"/>
                <w:lang w:val="lv-LV"/>
              </w:rPr>
              <w:t>R</w:t>
            </w:r>
            <w:r w:rsidR="00821861" w:rsidRPr="00022EF5">
              <w:rPr>
                <w:rFonts w:cs="Times New Roman"/>
                <w:b w:val="0"/>
                <w:bCs/>
                <w:sz w:val="24"/>
                <w:szCs w:val="24"/>
                <w:lang w:val="lv-LV"/>
              </w:rPr>
              <w:t>ezultāta sasniegšanu</w:t>
            </w:r>
            <w:r w:rsidR="00821861">
              <w:rPr>
                <w:rFonts w:cs="Times New Roman"/>
                <w:b w:val="0"/>
                <w:bCs/>
                <w:sz w:val="24"/>
                <w:szCs w:val="24"/>
                <w:lang w:val="lv-LV"/>
              </w:rPr>
              <w:t xml:space="preserve"> apliecina noslēgts </w:t>
            </w:r>
            <w:r w:rsidR="00821861" w:rsidRPr="00022EF5">
              <w:rPr>
                <w:rFonts w:cs="Times New Roman"/>
                <w:b w:val="0"/>
                <w:bCs/>
                <w:sz w:val="24"/>
                <w:szCs w:val="24"/>
                <w:lang w:val="lv-LV"/>
              </w:rPr>
              <w:t>līgum</w:t>
            </w:r>
            <w:r w:rsidR="00821861">
              <w:rPr>
                <w:rFonts w:cs="Times New Roman"/>
                <w:b w:val="0"/>
                <w:bCs/>
                <w:sz w:val="24"/>
                <w:szCs w:val="24"/>
                <w:lang w:val="lv-LV"/>
              </w:rPr>
              <w:t>s</w:t>
            </w:r>
            <w:r w:rsidR="00821861" w:rsidRPr="00022EF5">
              <w:rPr>
                <w:rFonts w:cs="Times New Roman"/>
                <w:b w:val="0"/>
                <w:bCs/>
                <w:sz w:val="24"/>
                <w:szCs w:val="24"/>
                <w:lang w:val="lv-LV"/>
              </w:rPr>
              <w:t xml:space="preserve"> ar Centrālo finanšu un līgumu aģentūru</w:t>
            </w:r>
            <w:r w:rsidR="004A507D" w:rsidRPr="00022EF5">
              <w:rPr>
                <w:rFonts w:cs="Times New Roman"/>
                <w:b w:val="0"/>
                <w:bCs/>
                <w:sz w:val="24"/>
                <w:szCs w:val="24"/>
                <w:lang w:val="lv-LV"/>
              </w:rPr>
              <w:t>;</w:t>
            </w:r>
          </w:p>
          <w:p w14:paraId="79D672F5" w14:textId="56222BF6" w:rsidR="00655FA4" w:rsidRPr="00022EF5" w:rsidRDefault="00655FA4" w:rsidP="004A507D">
            <w:pPr>
              <w:pStyle w:val="Sarakstarindkopa"/>
              <w:numPr>
                <w:ilvl w:val="0"/>
                <w:numId w:val="12"/>
              </w:numPr>
              <w:spacing w:before="120" w:after="120"/>
              <w:ind w:left="315" w:hanging="315"/>
              <w:contextualSpacing w:val="0"/>
              <w:jc w:val="both"/>
              <w:rPr>
                <w:rFonts w:cs="Times New Roman"/>
                <w:b w:val="0"/>
                <w:sz w:val="24"/>
                <w:szCs w:val="24"/>
                <w:lang w:val="lv-LV"/>
              </w:rPr>
            </w:pPr>
            <w:r w:rsidRPr="00022EF5">
              <w:rPr>
                <w:rFonts w:cs="Times New Roman"/>
                <w:b w:val="0"/>
                <w:bCs/>
                <w:sz w:val="24"/>
                <w:szCs w:val="24"/>
                <w:lang w:val="lv-LV"/>
              </w:rPr>
              <w:t xml:space="preserve">atbalstīti </w:t>
            </w:r>
            <w:r w:rsidRPr="00022EF5">
              <w:rPr>
                <w:rFonts w:cs="Times New Roman"/>
                <w:b w:val="0"/>
                <w:sz w:val="24"/>
                <w:szCs w:val="24"/>
                <w:lang w:val="lv-LV"/>
              </w:rPr>
              <w:t>sīkie (mikro), mazie, vidējie un lielie komersanti</w:t>
            </w:r>
            <w:r w:rsidRPr="00022EF5">
              <w:rPr>
                <w:rFonts w:cs="Times New Roman"/>
                <w:b w:val="0"/>
                <w:bCs/>
                <w:sz w:val="24"/>
                <w:szCs w:val="24"/>
                <w:lang w:val="lv-LV"/>
              </w:rPr>
              <w:t xml:space="preserve"> kā pētniecības projektu īstenotāji / sadarbības partneri. Ņemot vērā iepriekšējo projektu pieredzi, šajā projektā </w:t>
            </w:r>
            <w:r w:rsidR="004A507D" w:rsidRPr="00022EF5">
              <w:rPr>
                <w:rFonts w:cs="Times New Roman"/>
                <w:b w:val="0"/>
                <w:bCs/>
                <w:sz w:val="24"/>
                <w:szCs w:val="24"/>
                <w:lang w:val="lv-LV"/>
              </w:rPr>
              <w:t>K</w:t>
            </w:r>
            <w:r w:rsidRPr="00022EF5">
              <w:rPr>
                <w:rFonts w:cs="Times New Roman"/>
                <w:b w:val="0"/>
                <w:bCs/>
                <w:sz w:val="24"/>
                <w:szCs w:val="24"/>
                <w:lang w:val="lv-LV"/>
              </w:rPr>
              <w:t xml:space="preserve">ompetences centrs </w:t>
            </w:r>
            <w:r w:rsidR="004A507D" w:rsidRPr="00022EF5">
              <w:rPr>
                <w:rFonts w:cs="Times New Roman"/>
                <w:b w:val="0"/>
                <w:bCs/>
                <w:sz w:val="24"/>
                <w:szCs w:val="24"/>
                <w:lang w:val="lv-LV"/>
              </w:rPr>
              <w:t xml:space="preserve">plāno </w:t>
            </w:r>
            <w:r w:rsidRPr="00022EF5">
              <w:rPr>
                <w:rFonts w:cs="Times New Roman"/>
                <w:b w:val="0"/>
                <w:bCs/>
                <w:sz w:val="24"/>
                <w:szCs w:val="24"/>
                <w:lang w:val="lv-LV"/>
              </w:rPr>
              <w:t xml:space="preserve">atbalstīt vismaz </w:t>
            </w:r>
            <w:r w:rsidR="004A507D" w:rsidRPr="006D305C">
              <w:rPr>
                <w:rFonts w:cs="Times New Roman"/>
                <w:b w:val="0"/>
                <w:bCs/>
                <w:sz w:val="24"/>
                <w:szCs w:val="24"/>
                <w:lang w:val="lv-LV"/>
              </w:rPr>
              <w:t>10</w:t>
            </w:r>
            <w:r w:rsidR="004A507D" w:rsidRPr="00022EF5">
              <w:rPr>
                <w:rFonts w:cs="Times New Roman"/>
                <w:b w:val="0"/>
                <w:bCs/>
                <w:sz w:val="24"/>
                <w:szCs w:val="24"/>
                <w:lang w:val="lv-LV"/>
              </w:rPr>
              <w:t xml:space="preserve"> </w:t>
            </w:r>
            <w:r w:rsidRPr="00022EF5">
              <w:rPr>
                <w:rFonts w:cs="Times New Roman"/>
                <w:b w:val="0"/>
                <w:bCs/>
                <w:sz w:val="24"/>
                <w:szCs w:val="24"/>
                <w:lang w:val="lv-LV"/>
              </w:rPr>
              <w:t>komersantus.</w:t>
            </w:r>
          </w:p>
          <w:p w14:paraId="33050915" w14:textId="07856133" w:rsidR="00655FA4" w:rsidRPr="00022EF5" w:rsidRDefault="00655FA4" w:rsidP="004A507D">
            <w:pPr>
              <w:spacing w:before="120" w:after="120"/>
              <w:jc w:val="both"/>
              <w:rPr>
                <w:rFonts w:ascii="Times New Roman" w:hAnsi="Times New Roman" w:cs="Times New Roman"/>
                <w:sz w:val="24"/>
                <w:szCs w:val="24"/>
                <w:lang w:val="lv-LV"/>
              </w:rPr>
            </w:pPr>
            <w:r w:rsidRPr="00022EF5">
              <w:rPr>
                <w:rFonts w:ascii="Times New Roman" w:hAnsi="Times New Roman" w:cs="Times New Roman"/>
                <w:sz w:val="24"/>
                <w:szCs w:val="24"/>
                <w:lang w:val="lv-LV"/>
              </w:rPr>
              <w:t xml:space="preserve">Papildus tam projekta īstenošanas laikā plānots apkopot un uzkrāt informāciju par </w:t>
            </w:r>
            <w:r w:rsidR="004A507D" w:rsidRPr="00022EF5">
              <w:rPr>
                <w:rFonts w:ascii="Times New Roman" w:hAnsi="Times New Roman" w:cs="Times New Roman"/>
                <w:sz w:val="24"/>
                <w:szCs w:val="24"/>
                <w:lang w:val="lv-LV"/>
              </w:rPr>
              <w:t>šādiem</w:t>
            </w:r>
            <w:r w:rsidRPr="00022EF5">
              <w:rPr>
                <w:rFonts w:ascii="Times New Roman" w:hAnsi="Times New Roman" w:cs="Times New Roman"/>
                <w:sz w:val="24"/>
                <w:szCs w:val="24"/>
                <w:lang w:val="lv-LV"/>
              </w:rPr>
              <w:t xml:space="preserve"> </w:t>
            </w:r>
            <w:r w:rsidRPr="00022EF5">
              <w:rPr>
                <w:rFonts w:ascii="Times New Roman" w:hAnsi="Times New Roman" w:cs="Times New Roman"/>
                <w:bCs/>
                <w:sz w:val="24"/>
                <w:szCs w:val="24"/>
                <w:lang w:val="lv-LV"/>
              </w:rPr>
              <w:t>rādītājiem</w:t>
            </w:r>
            <w:r w:rsidRPr="00022EF5">
              <w:rPr>
                <w:rFonts w:ascii="Times New Roman" w:hAnsi="Times New Roman" w:cs="Times New Roman"/>
                <w:sz w:val="24"/>
                <w:szCs w:val="24"/>
                <w:lang w:val="lv-LV"/>
              </w:rPr>
              <w:t>,</w:t>
            </w:r>
            <w:r w:rsidRPr="00022EF5">
              <w:t xml:space="preserve"> </w:t>
            </w:r>
            <w:r w:rsidRPr="00022EF5">
              <w:rPr>
                <w:rFonts w:ascii="Times New Roman" w:hAnsi="Times New Roman" w:cs="Times New Roman"/>
                <w:sz w:val="24"/>
                <w:szCs w:val="24"/>
                <w:lang w:val="lv-LV"/>
              </w:rPr>
              <w:t>kas sasniedzami līdz 2026. gada 30. jūnijam:</w:t>
            </w:r>
          </w:p>
          <w:p w14:paraId="633A29A4" w14:textId="77777777" w:rsidR="00655FA4" w:rsidRPr="00022EF5"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022EF5">
              <w:rPr>
                <w:rFonts w:cs="Times New Roman"/>
                <w:b w:val="0"/>
                <w:sz w:val="24"/>
                <w:szCs w:val="24"/>
                <w:lang w:val="lv-LV"/>
              </w:rPr>
              <w:t>publiskais finansējums un privātās investīcijas</w:t>
            </w:r>
            <w:r w:rsidRPr="00022EF5">
              <w:rPr>
                <w:rFonts w:cs="Times New Roman"/>
                <w:b w:val="0"/>
                <w:bCs/>
                <w:sz w:val="24"/>
                <w:szCs w:val="24"/>
                <w:lang w:val="lv-LV"/>
              </w:rPr>
              <w:t>, kas papildina komercdarbības atbalstu inovācijām vai pētniecības projektiem (</w:t>
            </w:r>
            <w:proofErr w:type="spellStart"/>
            <w:r w:rsidRPr="00022EF5">
              <w:rPr>
                <w:rFonts w:cs="Times New Roman"/>
                <w:b w:val="0"/>
                <w:bCs/>
                <w:sz w:val="24"/>
                <w:szCs w:val="24"/>
                <w:lang w:val="lv-LV"/>
              </w:rPr>
              <w:t>euro</w:t>
            </w:r>
            <w:proofErr w:type="spellEnd"/>
            <w:r w:rsidRPr="00022EF5">
              <w:rPr>
                <w:rFonts w:cs="Times New Roman"/>
                <w:b w:val="0"/>
                <w:bCs/>
                <w:sz w:val="24"/>
                <w:szCs w:val="24"/>
                <w:lang w:val="lv-LV"/>
              </w:rPr>
              <w:t>):</w:t>
            </w:r>
          </w:p>
          <w:p w14:paraId="495C6F90" w14:textId="0A0B2FC5" w:rsidR="00655FA4" w:rsidRPr="006D305C" w:rsidRDefault="00655FA4" w:rsidP="0067131B">
            <w:pPr>
              <w:pStyle w:val="Sarakstarindkopa"/>
              <w:numPr>
                <w:ilvl w:val="1"/>
                <w:numId w:val="12"/>
              </w:numPr>
              <w:spacing w:before="120" w:after="120"/>
              <w:jc w:val="both"/>
              <w:rPr>
                <w:rFonts w:cs="Times New Roman"/>
                <w:b w:val="0"/>
                <w:bCs/>
                <w:sz w:val="24"/>
                <w:szCs w:val="24"/>
                <w:lang w:val="lv-LV"/>
              </w:rPr>
            </w:pPr>
            <w:r w:rsidRPr="00022EF5">
              <w:rPr>
                <w:rFonts w:cs="Times New Roman"/>
                <w:b w:val="0"/>
                <w:bCs/>
                <w:sz w:val="24"/>
                <w:szCs w:val="24"/>
                <w:lang w:val="lv-LV"/>
              </w:rPr>
              <w:t>pētniecības un attīstības izdevumu apjoms – publiskais finansējums (</w:t>
            </w:r>
            <w:proofErr w:type="spellStart"/>
            <w:r w:rsidRPr="00022EF5">
              <w:rPr>
                <w:rFonts w:cs="Times New Roman"/>
                <w:b w:val="0"/>
                <w:bCs/>
                <w:sz w:val="24"/>
                <w:szCs w:val="24"/>
                <w:lang w:val="lv-LV"/>
              </w:rPr>
              <w:t>euro</w:t>
            </w:r>
            <w:proofErr w:type="spellEnd"/>
            <w:r w:rsidRPr="00022EF5">
              <w:rPr>
                <w:rFonts w:cs="Times New Roman"/>
                <w:b w:val="0"/>
                <w:bCs/>
                <w:sz w:val="24"/>
                <w:szCs w:val="24"/>
                <w:lang w:val="lv-LV"/>
              </w:rPr>
              <w:t xml:space="preserve">). Atbilstoši projekta budžetam </w:t>
            </w:r>
            <w:r w:rsidR="00307397" w:rsidRPr="00022EF5">
              <w:rPr>
                <w:rFonts w:cs="Times New Roman"/>
                <w:b w:val="0"/>
                <w:bCs/>
                <w:sz w:val="24"/>
                <w:szCs w:val="24"/>
                <w:lang w:val="lv-LV"/>
              </w:rPr>
              <w:t xml:space="preserve">šobrīd </w:t>
            </w:r>
            <w:r w:rsidRPr="00022EF5">
              <w:rPr>
                <w:rFonts w:cs="Times New Roman"/>
                <w:b w:val="0"/>
                <w:bCs/>
                <w:sz w:val="24"/>
                <w:szCs w:val="24"/>
                <w:lang w:val="lv-LV"/>
              </w:rPr>
              <w:t xml:space="preserve">plānotais apjoms ir </w:t>
            </w:r>
            <w:r w:rsidR="0067131B" w:rsidRPr="006D305C">
              <w:rPr>
                <w:rFonts w:cs="Times New Roman"/>
                <w:b w:val="0"/>
                <w:bCs/>
                <w:sz w:val="24"/>
                <w:szCs w:val="24"/>
                <w:lang w:val="lv-LV"/>
              </w:rPr>
              <w:t xml:space="preserve">5 627 956,00 </w:t>
            </w:r>
            <w:r w:rsidRPr="006D305C">
              <w:rPr>
                <w:rFonts w:cs="Times New Roman"/>
                <w:b w:val="0"/>
                <w:bCs/>
                <w:sz w:val="24"/>
                <w:szCs w:val="24"/>
                <w:lang w:val="lv-LV"/>
              </w:rPr>
              <w:t xml:space="preserve">EUR apmērā, </w:t>
            </w:r>
            <w:r w:rsidR="00307397" w:rsidRPr="006D305C">
              <w:rPr>
                <w:rFonts w:cs="Times New Roman"/>
                <w:b w:val="0"/>
                <w:bCs/>
                <w:sz w:val="24"/>
                <w:szCs w:val="24"/>
                <w:lang w:val="lv-LV"/>
              </w:rPr>
              <w:t>faktiskie dati  tiks sniegti projekta īstenošanas laikā atbilstoši faktiski sasniegtajai vērtībai</w:t>
            </w:r>
            <w:r w:rsidRPr="006D305C">
              <w:rPr>
                <w:rFonts w:cs="Times New Roman"/>
                <w:b w:val="0"/>
                <w:bCs/>
                <w:sz w:val="24"/>
                <w:szCs w:val="24"/>
                <w:lang w:val="lv-LV"/>
              </w:rPr>
              <w:t>;</w:t>
            </w:r>
          </w:p>
          <w:p w14:paraId="7A30D23B" w14:textId="5773EEF6" w:rsidR="00655FA4" w:rsidRPr="00022EF5" w:rsidRDefault="00655FA4" w:rsidP="0067131B">
            <w:pPr>
              <w:pStyle w:val="Sarakstarindkopa"/>
              <w:numPr>
                <w:ilvl w:val="1"/>
                <w:numId w:val="12"/>
              </w:numPr>
              <w:spacing w:before="120" w:after="120"/>
              <w:jc w:val="both"/>
              <w:rPr>
                <w:rFonts w:cs="Times New Roman"/>
                <w:b w:val="0"/>
                <w:bCs/>
                <w:sz w:val="24"/>
                <w:szCs w:val="24"/>
                <w:lang w:val="lv-LV"/>
              </w:rPr>
            </w:pPr>
            <w:r w:rsidRPr="006D305C">
              <w:rPr>
                <w:rFonts w:cs="Times New Roman"/>
                <w:b w:val="0"/>
                <w:bCs/>
                <w:sz w:val="24"/>
                <w:szCs w:val="24"/>
                <w:lang w:val="lv-LV"/>
              </w:rPr>
              <w:t>pētniecības un attīstības izdevumu apjoms – privātās investīcijas (</w:t>
            </w:r>
            <w:proofErr w:type="spellStart"/>
            <w:r w:rsidRPr="006D305C">
              <w:rPr>
                <w:rFonts w:cs="Times New Roman"/>
                <w:b w:val="0"/>
                <w:bCs/>
                <w:sz w:val="24"/>
                <w:szCs w:val="24"/>
                <w:lang w:val="lv-LV"/>
              </w:rPr>
              <w:t>euro</w:t>
            </w:r>
            <w:proofErr w:type="spellEnd"/>
            <w:r w:rsidRPr="006D305C">
              <w:rPr>
                <w:rFonts w:cs="Times New Roman"/>
                <w:b w:val="0"/>
                <w:bCs/>
                <w:sz w:val="24"/>
                <w:szCs w:val="24"/>
                <w:lang w:val="lv-LV"/>
              </w:rPr>
              <w:t>)</w:t>
            </w:r>
            <w:r w:rsidR="004A507D" w:rsidRPr="006D305C">
              <w:rPr>
                <w:rFonts w:cs="Times New Roman"/>
                <w:b w:val="0"/>
                <w:bCs/>
                <w:sz w:val="24"/>
                <w:szCs w:val="24"/>
                <w:lang w:val="lv-LV"/>
              </w:rPr>
              <w:t>. Atbilstoši projekta budžetam</w:t>
            </w:r>
            <w:r w:rsidRPr="006D305C">
              <w:rPr>
                <w:rFonts w:cs="Times New Roman"/>
                <w:b w:val="0"/>
                <w:bCs/>
                <w:sz w:val="24"/>
                <w:szCs w:val="24"/>
                <w:lang w:val="lv-LV"/>
              </w:rPr>
              <w:t xml:space="preserve"> </w:t>
            </w:r>
            <w:r w:rsidR="00307397" w:rsidRPr="006D305C">
              <w:rPr>
                <w:rFonts w:cs="Times New Roman"/>
                <w:b w:val="0"/>
                <w:bCs/>
                <w:sz w:val="24"/>
                <w:szCs w:val="24"/>
                <w:lang w:val="lv-LV"/>
              </w:rPr>
              <w:t xml:space="preserve">šobrīd </w:t>
            </w:r>
            <w:r w:rsidRPr="006D305C">
              <w:rPr>
                <w:rFonts w:cs="Times New Roman"/>
                <w:b w:val="0"/>
                <w:bCs/>
                <w:sz w:val="24"/>
                <w:szCs w:val="24"/>
                <w:lang w:val="lv-LV"/>
              </w:rPr>
              <w:t xml:space="preserve">plānotais apjoms ir </w:t>
            </w:r>
            <w:r w:rsidR="0067131B" w:rsidRPr="006D305C">
              <w:rPr>
                <w:rFonts w:cs="Times New Roman"/>
                <w:b w:val="0"/>
                <w:bCs/>
                <w:sz w:val="24"/>
                <w:szCs w:val="24"/>
                <w:lang w:val="lv-LV"/>
              </w:rPr>
              <w:t xml:space="preserve">2 122 044.00 </w:t>
            </w:r>
            <w:r w:rsidRPr="006D305C">
              <w:rPr>
                <w:rFonts w:cs="Times New Roman"/>
                <w:b w:val="0"/>
                <w:bCs/>
                <w:sz w:val="24"/>
                <w:szCs w:val="24"/>
                <w:lang w:val="lv-LV"/>
              </w:rPr>
              <w:t>EUR apmērā</w:t>
            </w:r>
            <w:r w:rsidRPr="00022EF5">
              <w:rPr>
                <w:rFonts w:cs="Times New Roman"/>
                <w:b w:val="0"/>
                <w:bCs/>
                <w:sz w:val="24"/>
                <w:szCs w:val="24"/>
                <w:lang w:val="lv-LV"/>
              </w:rPr>
              <w:t xml:space="preserve">, </w:t>
            </w:r>
            <w:r w:rsidR="00307397" w:rsidRPr="00022EF5">
              <w:rPr>
                <w:rFonts w:cs="Times New Roman"/>
                <w:b w:val="0"/>
                <w:bCs/>
                <w:sz w:val="24"/>
                <w:szCs w:val="24"/>
                <w:lang w:val="lv-LV"/>
              </w:rPr>
              <w:t>faktiskie dati  tiks sniegti projekta īstenošanas laikā atbilstoši faktiski sasniegtajai vērtībai</w:t>
            </w:r>
            <w:r w:rsidRPr="00022EF5">
              <w:rPr>
                <w:rFonts w:cs="Times New Roman"/>
                <w:b w:val="0"/>
                <w:bCs/>
                <w:sz w:val="24"/>
                <w:szCs w:val="24"/>
                <w:lang w:val="lv-LV"/>
              </w:rPr>
              <w:t>;</w:t>
            </w:r>
          </w:p>
          <w:p w14:paraId="3DFE295B" w14:textId="224D7969" w:rsidR="00655FA4" w:rsidRPr="0067131B"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022EF5">
              <w:rPr>
                <w:rFonts w:cs="Times New Roman"/>
                <w:b w:val="0"/>
                <w:sz w:val="24"/>
                <w:szCs w:val="24"/>
                <w:lang w:val="lv-LV"/>
              </w:rPr>
              <w:t>jaunradīto produktu, pakalpojumu un tehnoloģiju skaits komersantos</w:t>
            </w:r>
            <w:r w:rsidRPr="00022EF5">
              <w:rPr>
                <w:rFonts w:cs="Times New Roman"/>
                <w:b w:val="0"/>
                <w:bCs/>
                <w:sz w:val="24"/>
                <w:szCs w:val="24"/>
                <w:lang w:val="lv-LV"/>
              </w:rPr>
              <w:t xml:space="preserve"> pēc atbalsta saņemšanas: jaunradītie produkti, jaunradītās tehnoloģijas, jaunradītie pakalpojumi. Ņemot vērā iepriekšējo projektu pieredzi, šajā projektā </w:t>
            </w:r>
            <w:r w:rsidR="00307397" w:rsidRPr="00022EF5">
              <w:rPr>
                <w:rFonts w:cs="Times New Roman"/>
                <w:b w:val="0"/>
                <w:bCs/>
                <w:sz w:val="24"/>
                <w:szCs w:val="24"/>
                <w:lang w:val="lv-LV"/>
              </w:rPr>
              <w:t>K</w:t>
            </w:r>
            <w:r w:rsidRPr="00022EF5">
              <w:rPr>
                <w:rFonts w:cs="Times New Roman"/>
                <w:b w:val="0"/>
                <w:bCs/>
                <w:sz w:val="24"/>
                <w:szCs w:val="24"/>
                <w:lang w:val="lv-LV"/>
              </w:rPr>
              <w:t xml:space="preserve">ompetences centra sniegtā atbalsta rezultātā varētu rasties vismaz </w:t>
            </w:r>
            <w:r w:rsidR="00307397" w:rsidRPr="006D305C">
              <w:rPr>
                <w:rFonts w:cs="Times New Roman"/>
                <w:b w:val="0"/>
                <w:bCs/>
                <w:sz w:val="24"/>
                <w:szCs w:val="24"/>
                <w:lang w:val="lv-LV"/>
              </w:rPr>
              <w:t>10</w:t>
            </w:r>
            <w:r w:rsidRPr="00022EF5">
              <w:rPr>
                <w:rFonts w:cs="Times New Roman"/>
                <w:b w:val="0"/>
                <w:bCs/>
                <w:sz w:val="24"/>
                <w:szCs w:val="24"/>
                <w:lang w:val="lv-LV"/>
              </w:rPr>
              <w:t xml:space="preserve"> jaunradītie produkti, jaunradītās tehnoloģijas vai jaunradītie pakalpojumi, </w:t>
            </w:r>
            <w:r w:rsidR="00307397" w:rsidRPr="00022EF5">
              <w:rPr>
                <w:rFonts w:cs="Times New Roman"/>
                <w:b w:val="0"/>
                <w:bCs/>
                <w:sz w:val="24"/>
                <w:szCs w:val="24"/>
                <w:lang w:val="lv-LV"/>
              </w:rPr>
              <w:t xml:space="preserve">faktiskie dati  tiks sniegti projekta īstenošanas laikā atbilstoši </w:t>
            </w:r>
            <w:r w:rsidR="00307397" w:rsidRPr="0067131B">
              <w:rPr>
                <w:rFonts w:cs="Times New Roman"/>
                <w:b w:val="0"/>
                <w:bCs/>
                <w:sz w:val="24"/>
                <w:szCs w:val="24"/>
                <w:lang w:val="lv-LV"/>
              </w:rPr>
              <w:t>faktiski sasniegtajai vērtībai</w:t>
            </w:r>
            <w:r w:rsidRPr="0067131B">
              <w:rPr>
                <w:rFonts w:cs="Times New Roman"/>
                <w:b w:val="0"/>
                <w:bCs/>
                <w:sz w:val="24"/>
                <w:szCs w:val="24"/>
                <w:lang w:val="lv-LV"/>
              </w:rPr>
              <w:t>;</w:t>
            </w:r>
          </w:p>
          <w:p w14:paraId="5A854EB7" w14:textId="12A9EA2C" w:rsidR="00655FA4" w:rsidRPr="0067131B"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67131B">
              <w:rPr>
                <w:rFonts w:cs="Times New Roman"/>
                <w:b w:val="0"/>
                <w:sz w:val="24"/>
                <w:szCs w:val="24"/>
                <w:lang w:val="lv-LV"/>
              </w:rPr>
              <w:t>pētniecības projekti, kas ietver sadarbību starp komersantiem un pētniecības un zināšanu izplatīšanas organizācijām</w:t>
            </w:r>
            <w:r w:rsidR="00307397" w:rsidRPr="0067131B">
              <w:rPr>
                <w:rFonts w:cs="Times New Roman"/>
                <w:b w:val="0"/>
                <w:sz w:val="24"/>
                <w:szCs w:val="24"/>
                <w:lang w:val="lv-LV"/>
              </w:rPr>
              <w:t xml:space="preserve"> (skaits)</w:t>
            </w:r>
            <w:r w:rsidR="00307397" w:rsidRPr="0067131B">
              <w:rPr>
                <w:rFonts w:cs="Times New Roman"/>
                <w:b w:val="0"/>
                <w:bCs/>
                <w:sz w:val="24"/>
                <w:szCs w:val="24"/>
                <w:lang w:val="lv-LV"/>
              </w:rPr>
              <w:t>;</w:t>
            </w:r>
          </w:p>
          <w:p w14:paraId="4729A755" w14:textId="2C88C9E9" w:rsidR="00655FA4" w:rsidRPr="00022EF5"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022EF5">
              <w:rPr>
                <w:rFonts w:cs="Times New Roman"/>
                <w:b w:val="0"/>
                <w:bCs/>
                <w:sz w:val="24"/>
                <w:szCs w:val="24"/>
                <w:lang w:val="lv-LV"/>
              </w:rPr>
              <w:t>izveidotās jaunās darba vietas ar pētniecības projektu īstenošanu</w:t>
            </w:r>
            <w:r w:rsidR="00307397" w:rsidRPr="00022EF5">
              <w:rPr>
                <w:rFonts w:cs="Times New Roman"/>
                <w:b w:val="0"/>
                <w:bCs/>
                <w:sz w:val="24"/>
                <w:szCs w:val="24"/>
                <w:lang w:val="lv-LV"/>
              </w:rPr>
              <w:t xml:space="preserve"> (skaits)</w:t>
            </w:r>
            <w:r w:rsidRPr="00022EF5">
              <w:rPr>
                <w:rFonts w:cs="Times New Roman"/>
                <w:b w:val="0"/>
                <w:bCs/>
                <w:sz w:val="24"/>
                <w:szCs w:val="24"/>
                <w:lang w:val="lv-LV"/>
              </w:rPr>
              <w:t>;</w:t>
            </w:r>
          </w:p>
          <w:p w14:paraId="24055474" w14:textId="77777777" w:rsidR="00655FA4" w:rsidRPr="00022EF5"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022EF5">
              <w:rPr>
                <w:rFonts w:cs="Times New Roman"/>
                <w:b w:val="0"/>
                <w:bCs/>
                <w:sz w:val="24"/>
                <w:szCs w:val="24"/>
                <w:lang w:val="lv-LV"/>
              </w:rPr>
              <w:t>jaunradīto darba vietu atalgojuma apmērs projekta ietvaros (</w:t>
            </w:r>
            <w:proofErr w:type="spellStart"/>
            <w:r w:rsidRPr="00022EF5">
              <w:rPr>
                <w:rFonts w:cs="Times New Roman"/>
                <w:b w:val="0"/>
                <w:bCs/>
                <w:sz w:val="24"/>
                <w:szCs w:val="24"/>
                <w:lang w:val="lv-LV"/>
              </w:rPr>
              <w:t>euro</w:t>
            </w:r>
            <w:proofErr w:type="spellEnd"/>
            <w:r w:rsidRPr="00022EF5">
              <w:rPr>
                <w:rFonts w:cs="Times New Roman"/>
                <w:b w:val="0"/>
                <w:bCs/>
                <w:sz w:val="24"/>
                <w:szCs w:val="24"/>
                <w:lang w:val="lv-LV"/>
              </w:rPr>
              <w:t>);</w:t>
            </w:r>
          </w:p>
          <w:p w14:paraId="7B85A12E" w14:textId="77777777" w:rsidR="00655FA4" w:rsidRPr="00022EF5"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022EF5">
              <w:rPr>
                <w:rFonts w:cs="Times New Roman"/>
                <w:b w:val="0"/>
                <w:bCs/>
                <w:sz w:val="24"/>
                <w:szCs w:val="24"/>
                <w:lang w:val="lv-LV"/>
              </w:rPr>
              <w:t>komersantu papildu ieguldījumi (</w:t>
            </w:r>
            <w:proofErr w:type="spellStart"/>
            <w:r w:rsidRPr="00022EF5">
              <w:rPr>
                <w:rFonts w:cs="Times New Roman"/>
                <w:b w:val="0"/>
                <w:bCs/>
                <w:sz w:val="24"/>
                <w:szCs w:val="24"/>
                <w:lang w:val="lv-LV"/>
              </w:rPr>
              <w:t>euro</w:t>
            </w:r>
            <w:proofErr w:type="spellEnd"/>
            <w:r w:rsidRPr="00022EF5">
              <w:rPr>
                <w:rFonts w:cs="Times New Roman"/>
                <w:b w:val="0"/>
                <w:bCs/>
                <w:sz w:val="24"/>
                <w:szCs w:val="24"/>
                <w:lang w:val="lv-LV"/>
              </w:rPr>
              <w:t>) pētniecībā un attīstībā ārpus pētniecības projekta īstenošanas;</w:t>
            </w:r>
          </w:p>
          <w:p w14:paraId="50856702" w14:textId="77777777" w:rsidR="00655FA4" w:rsidRPr="00022DD3"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022DD3">
              <w:rPr>
                <w:rFonts w:cs="Times New Roman"/>
                <w:b w:val="0"/>
                <w:bCs/>
                <w:sz w:val="24"/>
                <w:szCs w:val="24"/>
                <w:lang w:val="lv-LV"/>
              </w:rPr>
              <w:t>piesaistītais ārvalstu finansējums (</w:t>
            </w:r>
            <w:proofErr w:type="spellStart"/>
            <w:r w:rsidRPr="00022DD3">
              <w:rPr>
                <w:rFonts w:cs="Times New Roman"/>
                <w:b w:val="0"/>
                <w:bCs/>
                <w:sz w:val="24"/>
                <w:szCs w:val="24"/>
                <w:lang w:val="lv-LV"/>
              </w:rPr>
              <w:t>euro</w:t>
            </w:r>
            <w:proofErr w:type="spellEnd"/>
            <w:r w:rsidRPr="00022DD3">
              <w:rPr>
                <w:rFonts w:cs="Times New Roman"/>
                <w:b w:val="0"/>
                <w:bCs/>
                <w:sz w:val="24"/>
                <w:szCs w:val="24"/>
                <w:lang w:val="lv-LV"/>
              </w:rPr>
              <w:t>) (no starptautiskajām pētniecības programmām vai ārvalstu partneriem) pētniecībai uzņēmējdarbības sektorā;</w:t>
            </w:r>
          </w:p>
          <w:p w14:paraId="28CD96F6" w14:textId="77777777" w:rsidR="00655FA4"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024172">
              <w:rPr>
                <w:rFonts w:cs="Times New Roman"/>
                <w:b w:val="0"/>
                <w:bCs/>
                <w:sz w:val="24"/>
                <w:szCs w:val="24"/>
                <w:lang w:val="lv-LV"/>
              </w:rPr>
              <w:t>komersanta noslēgtie licences līgumi (skaits) par pētniecības projekta īstenošanas rezultātā radītā</w:t>
            </w:r>
            <w:r>
              <w:rPr>
                <w:rFonts w:cs="Times New Roman"/>
                <w:b w:val="0"/>
                <w:bCs/>
                <w:sz w:val="24"/>
                <w:szCs w:val="24"/>
                <w:lang w:val="lv-LV"/>
              </w:rPr>
              <w:t xml:space="preserve"> </w:t>
            </w:r>
            <w:r w:rsidRPr="00024172">
              <w:rPr>
                <w:rFonts w:cs="Times New Roman"/>
                <w:b w:val="0"/>
                <w:bCs/>
                <w:sz w:val="24"/>
                <w:szCs w:val="24"/>
                <w:lang w:val="lv-LV"/>
              </w:rPr>
              <w:t>intelektuālā īpašuma komercializēšanu;</w:t>
            </w:r>
          </w:p>
          <w:p w14:paraId="72253009" w14:textId="77777777" w:rsidR="00655FA4" w:rsidRPr="009606F6"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9606F6">
              <w:rPr>
                <w:rFonts w:cs="Times New Roman"/>
                <w:b w:val="0"/>
                <w:bCs/>
                <w:sz w:val="24"/>
                <w:szCs w:val="24"/>
                <w:lang w:val="lv-LV"/>
              </w:rPr>
              <w:t>komersanta neto apgrozījums (</w:t>
            </w:r>
            <w:proofErr w:type="spellStart"/>
            <w:r w:rsidRPr="009606F6">
              <w:rPr>
                <w:rFonts w:cs="Times New Roman"/>
                <w:b w:val="0"/>
                <w:bCs/>
                <w:sz w:val="24"/>
                <w:szCs w:val="24"/>
                <w:lang w:val="lv-LV"/>
              </w:rPr>
              <w:t>euro</w:t>
            </w:r>
            <w:proofErr w:type="spellEnd"/>
            <w:r w:rsidRPr="009606F6">
              <w:rPr>
                <w:rFonts w:cs="Times New Roman"/>
                <w:b w:val="0"/>
                <w:bCs/>
                <w:sz w:val="24"/>
                <w:szCs w:val="24"/>
                <w:lang w:val="lv-LV"/>
              </w:rPr>
              <w:t>) no pētniecības projekta rezultāta ieviešanas saimnieciskajā darbībā vai komercializēšanas;</w:t>
            </w:r>
          </w:p>
          <w:p w14:paraId="17B0ACDA" w14:textId="77777777" w:rsidR="00655FA4" w:rsidRPr="009606F6" w:rsidRDefault="00655FA4" w:rsidP="004A507D">
            <w:pPr>
              <w:pStyle w:val="Sarakstarindkopa"/>
              <w:numPr>
                <w:ilvl w:val="0"/>
                <w:numId w:val="12"/>
              </w:numPr>
              <w:spacing w:before="120" w:after="120"/>
              <w:ind w:left="315" w:hanging="315"/>
              <w:jc w:val="both"/>
              <w:rPr>
                <w:rFonts w:cs="Times New Roman"/>
                <w:b w:val="0"/>
                <w:bCs/>
                <w:sz w:val="24"/>
                <w:szCs w:val="24"/>
                <w:lang w:val="lv-LV"/>
              </w:rPr>
            </w:pPr>
            <w:r w:rsidRPr="009606F6">
              <w:rPr>
                <w:rFonts w:cs="Times New Roman"/>
                <w:b w:val="0"/>
                <w:bCs/>
                <w:sz w:val="24"/>
                <w:szCs w:val="24"/>
                <w:lang w:val="lv-LV"/>
              </w:rPr>
              <w:t>pētniecības projektos iesaistīto doktorantu un doktoru skaits:</w:t>
            </w:r>
          </w:p>
          <w:p w14:paraId="6FE3EA1B" w14:textId="77777777" w:rsidR="00655FA4" w:rsidRPr="009606F6" w:rsidRDefault="00655FA4" w:rsidP="004A507D">
            <w:pPr>
              <w:pStyle w:val="Sarakstarindkopa"/>
              <w:numPr>
                <w:ilvl w:val="1"/>
                <w:numId w:val="12"/>
              </w:numPr>
              <w:spacing w:before="120" w:after="120"/>
              <w:jc w:val="both"/>
              <w:rPr>
                <w:rFonts w:cs="Times New Roman"/>
                <w:b w:val="0"/>
                <w:bCs/>
                <w:sz w:val="24"/>
                <w:szCs w:val="24"/>
                <w:lang w:val="lv-LV"/>
              </w:rPr>
            </w:pPr>
            <w:r w:rsidRPr="009606F6">
              <w:rPr>
                <w:rFonts w:cs="Times New Roman"/>
                <w:b w:val="0"/>
                <w:bCs/>
                <w:sz w:val="24"/>
                <w:szCs w:val="24"/>
                <w:lang w:val="lv-LV"/>
              </w:rPr>
              <w:t>zinātniskais personāls (skaits):</w:t>
            </w:r>
          </w:p>
          <w:p w14:paraId="1598EF85" w14:textId="77777777" w:rsidR="00655FA4" w:rsidRPr="009606F6" w:rsidRDefault="00655FA4" w:rsidP="004A507D">
            <w:pPr>
              <w:pStyle w:val="Sarakstarindkopa"/>
              <w:numPr>
                <w:ilvl w:val="2"/>
                <w:numId w:val="12"/>
              </w:numPr>
              <w:spacing w:before="120" w:after="120"/>
              <w:jc w:val="both"/>
              <w:rPr>
                <w:rFonts w:cs="Times New Roman"/>
                <w:b w:val="0"/>
                <w:bCs/>
                <w:sz w:val="24"/>
                <w:szCs w:val="24"/>
                <w:lang w:val="lv-LV"/>
              </w:rPr>
            </w:pPr>
            <w:r w:rsidRPr="009606F6">
              <w:rPr>
                <w:rFonts w:cs="Times New Roman"/>
                <w:b w:val="0"/>
                <w:bCs/>
                <w:sz w:val="24"/>
                <w:szCs w:val="24"/>
                <w:lang w:val="lv-LV"/>
              </w:rPr>
              <w:t>zinātniskais personāls – jaunie zinātnieki (skaits);</w:t>
            </w:r>
          </w:p>
          <w:p w14:paraId="27296F66" w14:textId="77777777" w:rsidR="00655FA4" w:rsidRPr="009606F6" w:rsidRDefault="00655FA4" w:rsidP="004A507D">
            <w:pPr>
              <w:pStyle w:val="Sarakstarindkopa"/>
              <w:numPr>
                <w:ilvl w:val="2"/>
                <w:numId w:val="12"/>
              </w:numPr>
              <w:spacing w:before="120" w:after="120"/>
              <w:jc w:val="both"/>
              <w:rPr>
                <w:rFonts w:cs="Times New Roman"/>
                <w:b w:val="0"/>
                <w:bCs/>
                <w:sz w:val="24"/>
                <w:szCs w:val="24"/>
                <w:lang w:val="lv-LV"/>
              </w:rPr>
            </w:pPr>
            <w:r w:rsidRPr="009606F6">
              <w:rPr>
                <w:rFonts w:cs="Times New Roman"/>
                <w:b w:val="0"/>
                <w:bCs/>
                <w:sz w:val="24"/>
                <w:szCs w:val="24"/>
                <w:lang w:val="lv-LV"/>
              </w:rPr>
              <w:t>zinātniskais personāls – maģistranti (skaits);</w:t>
            </w:r>
          </w:p>
          <w:p w14:paraId="7BA36ABA" w14:textId="77777777" w:rsidR="00655FA4" w:rsidRDefault="00655FA4" w:rsidP="004A507D">
            <w:pPr>
              <w:pStyle w:val="Sarakstarindkopa"/>
              <w:numPr>
                <w:ilvl w:val="2"/>
                <w:numId w:val="12"/>
              </w:numPr>
              <w:spacing w:before="120" w:after="120"/>
              <w:jc w:val="both"/>
              <w:rPr>
                <w:rFonts w:cs="Times New Roman"/>
                <w:b w:val="0"/>
                <w:bCs/>
                <w:sz w:val="24"/>
                <w:szCs w:val="24"/>
                <w:lang w:val="lv-LV"/>
              </w:rPr>
            </w:pPr>
            <w:r w:rsidRPr="009606F6">
              <w:rPr>
                <w:rFonts w:cs="Times New Roman"/>
                <w:b w:val="0"/>
                <w:bCs/>
                <w:sz w:val="24"/>
                <w:szCs w:val="24"/>
                <w:lang w:val="lv-LV"/>
              </w:rPr>
              <w:t>zinātniskais personāls – doktoranti un doktora grāda pretendenti (skaits);</w:t>
            </w:r>
          </w:p>
          <w:p w14:paraId="47425722" w14:textId="77777777" w:rsidR="00655FA4" w:rsidRPr="0089635D" w:rsidRDefault="00655FA4" w:rsidP="004A507D">
            <w:pPr>
              <w:pStyle w:val="Sarakstarindkopa"/>
              <w:numPr>
                <w:ilvl w:val="1"/>
                <w:numId w:val="12"/>
              </w:numPr>
              <w:spacing w:before="120" w:after="120"/>
              <w:jc w:val="both"/>
              <w:rPr>
                <w:rFonts w:cs="Times New Roman"/>
                <w:b w:val="0"/>
                <w:bCs/>
                <w:sz w:val="24"/>
                <w:szCs w:val="24"/>
                <w:lang w:val="lv-LV"/>
              </w:rPr>
            </w:pPr>
            <w:r w:rsidRPr="0089635D">
              <w:rPr>
                <w:rFonts w:cs="Times New Roman"/>
                <w:b w:val="0"/>
                <w:bCs/>
                <w:sz w:val="24"/>
                <w:szCs w:val="24"/>
                <w:lang w:val="lv-LV"/>
              </w:rPr>
              <w:lastRenderedPageBreak/>
              <w:t>zinātniskais personāls (pilna laika ekvivalents):</w:t>
            </w:r>
          </w:p>
          <w:p w14:paraId="57158D0A" w14:textId="77777777" w:rsidR="00655FA4" w:rsidRPr="0089635D" w:rsidRDefault="00655FA4" w:rsidP="004A507D">
            <w:pPr>
              <w:pStyle w:val="Sarakstarindkopa"/>
              <w:numPr>
                <w:ilvl w:val="2"/>
                <w:numId w:val="12"/>
              </w:numPr>
              <w:spacing w:before="120" w:after="120"/>
              <w:jc w:val="both"/>
              <w:rPr>
                <w:rFonts w:cs="Times New Roman"/>
                <w:b w:val="0"/>
                <w:bCs/>
                <w:sz w:val="24"/>
                <w:szCs w:val="24"/>
                <w:lang w:val="lv-LV"/>
              </w:rPr>
            </w:pPr>
            <w:r w:rsidRPr="0089635D">
              <w:rPr>
                <w:rFonts w:cs="Times New Roman"/>
                <w:b w:val="0"/>
                <w:bCs/>
                <w:sz w:val="24"/>
                <w:szCs w:val="24"/>
                <w:lang w:val="lv-LV"/>
              </w:rPr>
              <w:t>zinātniskais personāls – jaunie zinātnieki (pilna laika ekvivalents);</w:t>
            </w:r>
          </w:p>
          <w:p w14:paraId="70D0A2BB" w14:textId="77777777" w:rsidR="00655FA4" w:rsidRPr="0089635D" w:rsidRDefault="00655FA4" w:rsidP="004A507D">
            <w:pPr>
              <w:pStyle w:val="Sarakstarindkopa"/>
              <w:numPr>
                <w:ilvl w:val="2"/>
                <w:numId w:val="12"/>
              </w:numPr>
              <w:spacing w:before="120" w:after="120"/>
              <w:jc w:val="both"/>
              <w:rPr>
                <w:rFonts w:cs="Times New Roman"/>
                <w:b w:val="0"/>
                <w:bCs/>
                <w:sz w:val="24"/>
                <w:szCs w:val="24"/>
                <w:lang w:val="lv-LV"/>
              </w:rPr>
            </w:pPr>
            <w:r w:rsidRPr="0089635D">
              <w:rPr>
                <w:rFonts w:cs="Times New Roman"/>
                <w:b w:val="0"/>
                <w:bCs/>
                <w:sz w:val="24"/>
                <w:szCs w:val="24"/>
                <w:lang w:val="lv-LV"/>
              </w:rPr>
              <w:t>zinātniskais personāls – maģistranti (pilna laika ekvivalents);</w:t>
            </w:r>
          </w:p>
          <w:p w14:paraId="0EFFC192" w14:textId="77777777" w:rsidR="00655FA4" w:rsidRPr="0089635D" w:rsidRDefault="00655FA4" w:rsidP="004A507D">
            <w:pPr>
              <w:pStyle w:val="Sarakstarindkopa"/>
              <w:numPr>
                <w:ilvl w:val="2"/>
                <w:numId w:val="12"/>
              </w:numPr>
              <w:spacing w:before="120" w:after="120"/>
              <w:jc w:val="both"/>
              <w:rPr>
                <w:rFonts w:cs="Times New Roman"/>
                <w:b w:val="0"/>
                <w:bCs/>
                <w:sz w:val="24"/>
                <w:szCs w:val="24"/>
                <w:lang w:val="lv-LV"/>
              </w:rPr>
            </w:pPr>
            <w:r w:rsidRPr="0089635D">
              <w:rPr>
                <w:rFonts w:cs="Times New Roman"/>
                <w:b w:val="0"/>
                <w:bCs/>
                <w:sz w:val="24"/>
                <w:szCs w:val="24"/>
                <w:lang w:val="lv-LV"/>
              </w:rPr>
              <w:t>zinātniskais personāls – doktoranti un doktora grāda pretendenti (pilna laika ekvivalents);</w:t>
            </w:r>
          </w:p>
          <w:p w14:paraId="04B1A53B" w14:textId="77777777" w:rsidR="00655FA4" w:rsidRPr="0089635D" w:rsidRDefault="00655FA4" w:rsidP="004A507D">
            <w:pPr>
              <w:pStyle w:val="Sarakstarindkopa"/>
              <w:numPr>
                <w:ilvl w:val="1"/>
                <w:numId w:val="12"/>
              </w:numPr>
              <w:spacing w:before="120" w:after="120"/>
              <w:jc w:val="both"/>
              <w:rPr>
                <w:rFonts w:cs="Times New Roman"/>
                <w:b w:val="0"/>
                <w:bCs/>
                <w:sz w:val="24"/>
                <w:szCs w:val="24"/>
                <w:lang w:val="lv-LV"/>
              </w:rPr>
            </w:pPr>
            <w:r w:rsidRPr="0089635D">
              <w:rPr>
                <w:rFonts w:cs="Times New Roman"/>
                <w:b w:val="0"/>
                <w:bCs/>
                <w:sz w:val="24"/>
                <w:szCs w:val="24"/>
                <w:lang w:val="lv-LV"/>
              </w:rPr>
              <w:t>zinātnes tehniskais personāls (skaits):</w:t>
            </w:r>
          </w:p>
          <w:p w14:paraId="2E1C7BD6" w14:textId="77777777" w:rsidR="00655FA4" w:rsidRPr="0089635D" w:rsidRDefault="00655FA4" w:rsidP="004A507D">
            <w:pPr>
              <w:pStyle w:val="Sarakstarindkopa"/>
              <w:numPr>
                <w:ilvl w:val="2"/>
                <w:numId w:val="12"/>
              </w:numPr>
              <w:spacing w:before="120" w:after="120"/>
              <w:jc w:val="both"/>
              <w:rPr>
                <w:rFonts w:cs="Times New Roman"/>
                <w:b w:val="0"/>
                <w:bCs/>
                <w:sz w:val="24"/>
                <w:szCs w:val="24"/>
                <w:lang w:val="lv-LV"/>
              </w:rPr>
            </w:pPr>
            <w:r w:rsidRPr="0089635D">
              <w:rPr>
                <w:rFonts w:cs="Times New Roman"/>
                <w:b w:val="0"/>
                <w:bCs/>
                <w:sz w:val="24"/>
                <w:szCs w:val="24"/>
                <w:lang w:val="lv-LV"/>
              </w:rPr>
              <w:t>zinātnes tehniskais personāls – jaunie zinātnieki (skaits);</w:t>
            </w:r>
          </w:p>
          <w:p w14:paraId="15C78B73" w14:textId="77777777" w:rsidR="00655FA4" w:rsidRPr="0089635D" w:rsidRDefault="00655FA4" w:rsidP="004A507D">
            <w:pPr>
              <w:pStyle w:val="Sarakstarindkopa"/>
              <w:numPr>
                <w:ilvl w:val="2"/>
                <w:numId w:val="12"/>
              </w:numPr>
              <w:spacing w:before="120" w:after="120"/>
              <w:jc w:val="both"/>
              <w:rPr>
                <w:rFonts w:cs="Times New Roman"/>
                <w:b w:val="0"/>
                <w:bCs/>
                <w:sz w:val="24"/>
                <w:szCs w:val="24"/>
                <w:lang w:val="lv-LV"/>
              </w:rPr>
            </w:pPr>
            <w:r w:rsidRPr="0089635D">
              <w:rPr>
                <w:rFonts w:cs="Times New Roman"/>
                <w:b w:val="0"/>
                <w:bCs/>
                <w:sz w:val="24"/>
                <w:szCs w:val="24"/>
                <w:lang w:val="lv-LV"/>
              </w:rPr>
              <w:t>zinātnes tehniskais personāls – maģistranti (skaits);</w:t>
            </w:r>
          </w:p>
          <w:p w14:paraId="233D71ED" w14:textId="77777777" w:rsidR="00655FA4" w:rsidRPr="0089635D" w:rsidRDefault="00655FA4" w:rsidP="004A507D">
            <w:pPr>
              <w:pStyle w:val="Sarakstarindkopa"/>
              <w:numPr>
                <w:ilvl w:val="2"/>
                <w:numId w:val="12"/>
              </w:numPr>
              <w:spacing w:before="120" w:after="120"/>
              <w:jc w:val="both"/>
              <w:rPr>
                <w:rFonts w:cs="Times New Roman"/>
                <w:b w:val="0"/>
                <w:bCs/>
                <w:sz w:val="24"/>
                <w:szCs w:val="24"/>
                <w:lang w:val="lv-LV"/>
              </w:rPr>
            </w:pPr>
            <w:r w:rsidRPr="0089635D">
              <w:rPr>
                <w:rFonts w:cs="Times New Roman"/>
                <w:b w:val="0"/>
                <w:bCs/>
                <w:sz w:val="24"/>
                <w:szCs w:val="24"/>
                <w:lang w:val="lv-LV"/>
              </w:rPr>
              <w:t>zinātnes tehniskais personāls – doktoranti un doktora grāda pretendenti (skaits);</w:t>
            </w:r>
          </w:p>
          <w:p w14:paraId="07485EF4" w14:textId="77777777" w:rsidR="00655FA4" w:rsidRPr="0089635D" w:rsidRDefault="00655FA4" w:rsidP="004A507D">
            <w:pPr>
              <w:pStyle w:val="Sarakstarindkopa"/>
              <w:numPr>
                <w:ilvl w:val="1"/>
                <w:numId w:val="12"/>
              </w:numPr>
              <w:spacing w:before="120" w:after="120"/>
              <w:jc w:val="both"/>
              <w:rPr>
                <w:rFonts w:cs="Times New Roman"/>
                <w:b w:val="0"/>
                <w:bCs/>
                <w:sz w:val="24"/>
                <w:szCs w:val="24"/>
                <w:lang w:val="lv-LV"/>
              </w:rPr>
            </w:pPr>
            <w:r w:rsidRPr="0089635D">
              <w:rPr>
                <w:rFonts w:cs="Times New Roman"/>
                <w:b w:val="0"/>
                <w:bCs/>
                <w:sz w:val="24"/>
                <w:szCs w:val="24"/>
                <w:lang w:val="lv-LV"/>
              </w:rPr>
              <w:t>zinātnes tehniskais personāls (pilna laika ekvivalents):</w:t>
            </w:r>
          </w:p>
          <w:p w14:paraId="7E6F5F8C" w14:textId="77777777" w:rsidR="00655FA4" w:rsidRDefault="00655FA4" w:rsidP="004A507D">
            <w:pPr>
              <w:pStyle w:val="Sarakstarindkopa"/>
              <w:numPr>
                <w:ilvl w:val="2"/>
                <w:numId w:val="12"/>
              </w:numPr>
              <w:spacing w:before="120" w:after="120"/>
              <w:jc w:val="both"/>
              <w:rPr>
                <w:rFonts w:cs="Times New Roman"/>
                <w:b w:val="0"/>
                <w:bCs/>
                <w:sz w:val="24"/>
                <w:szCs w:val="24"/>
                <w:lang w:val="lv-LV"/>
              </w:rPr>
            </w:pPr>
            <w:r w:rsidRPr="0089635D">
              <w:rPr>
                <w:rFonts w:cs="Times New Roman"/>
                <w:b w:val="0"/>
                <w:bCs/>
                <w:sz w:val="24"/>
                <w:szCs w:val="24"/>
                <w:lang w:val="lv-LV"/>
              </w:rPr>
              <w:t>zinātnes tehniskais personāls – jaunie zinātnieki (pilna laika ekvivalents);</w:t>
            </w:r>
          </w:p>
          <w:p w14:paraId="11B184CF" w14:textId="77777777" w:rsidR="00655FA4" w:rsidRPr="008314A9" w:rsidRDefault="00655FA4" w:rsidP="004A507D">
            <w:pPr>
              <w:pStyle w:val="Sarakstarindkopa"/>
              <w:numPr>
                <w:ilvl w:val="2"/>
                <w:numId w:val="12"/>
              </w:numPr>
              <w:spacing w:before="120" w:after="120"/>
              <w:jc w:val="both"/>
              <w:rPr>
                <w:rFonts w:cs="Times New Roman"/>
                <w:b w:val="0"/>
                <w:bCs/>
                <w:sz w:val="24"/>
                <w:szCs w:val="24"/>
                <w:lang w:val="lv-LV"/>
              </w:rPr>
            </w:pPr>
            <w:r w:rsidRPr="008314A9">
              <w:rPr>
                <w:rFonts w:cs="Times New Roman"/>
                <w:b w:val="0"/>
                <w:bCs/>
                <w:sz w:val="24"/>
                <w:szCs w:val="24"/>
                <w:lang w:val="lv-LV"/>
              </w:rPr>
              <w:t>zinātnes tehniskais personāls – maģistranti (pilna laika ekvivalents);</w:t>
            </w:r>
          </w:p>
          <w:p w14:paraId="6240B1EB" w14:textId="77777777" w:rsidR="00655FA4" w:rsidRPr="008314A9" w:rsidRDefault="00655FA4" w:rsidP="004A507D">
            <w:pPr>
              <w:pStyle w:val="Sarakstarindkopa"/>
              <w:numPr>
                <w:ilvl w:val="2"/>
                <w:numId w:val="12"/>
              </w:numPr>
              <w:spacing w:before="120" w:after="120"/>
              <w:jc w:val="both"/>
              <w:rPr>
                <w:rFonts w:cs="Times New Roman"/>
                <w:b w:val="0"/>
                <w:bCs/>
                <w:sz w:val="24"/>
                <w:szCs w:val="24"/>
                <w:lang w:val="lv-LV"/>
              </w:rPr>
            </w:pPr>
            <w:r w:rsidRPr="008314A9">
              <w:rPr>
                <w:rFonts w:cs="Times New Roman"/>
                <w:b w:val="0"/>
                <w:bCs/>
                <w:sz w:val="24"/>
                <w:szCs w:val="24"/>
                <w:lang w:val="lv-LV"/>
              </w:rPr>
              <w:t>zinātnes tehniskais personāls – doktoranti un doktora grāda pretendenti (pilna laika ekvivalents);</w:t>
            </w:r>
          </w:p>
          <w:p w14:paraId="66F67177" w14:textId="60EBED24" w:rsidR="00655FA4" w:rsidRPr="008314A9" w:rsidRDefault="00655FA4" w:rsidP="004A507D">
            <w:pPr>
              <w:pStyle w:val="Sarakstarindkopa"/>
              <w:numPr>
                <w:ilvl w:val="1"/>
                <w:numId w:val="12"/>
              </w:numPr>
              <w:spacing w:before="120" w:after="120"/>
              <w:jc w:val="both"/>
              <w:rPr>
                <w:rFonts w:cs="Times New Roman"/>
                <w:b w:val="0"/>
                <w:bCs/>
                <w:sz w:val="24"/>
                <w:szCs w:val="24"/>
                <w:lang w:val="lv-LV"/>
              </w:rPr>
            </w:pPr>
            <w:r w:rsidRPr="00307397">
              <w:rPr>
                <w:rFonts w:cs="Times New Roman"/>
                <w:b w:val="0"/>
                <w:sz w:val="24"/>
                <w:szCs w:val="24"/>
                <w:lang w:val="lv-LV"/>
              </w:rPr>
              <w:t>zinātnisko publikāciju skaits</w:t>
            </w:r>
            <w:r w:rsidR="00307397">
              <w:rPr>
                <w:rFonts w:cs="Times New Roman"/>
                <w:b w:val="0"/>
                <w:bCs/>
                <w:sz w:val="24"/>
                <w:szCs w:val="24"/>
                <w:lang w:val="lv-LV"/>
              </w:rPr>
              <w:t xml:space="preserve"> (skaits)</w:t>
            </w:r>
            <w:r>
              <w:rPr>
                <w:rFonts w:cs="Times New Roman"/>
                <w:b w:val="0"/>
                <w:bCs/>
                <w:sz w:val="24"/>
                <w:szCs w:val="24"/>
                <w:lang w:val="lv-LV"/>
              </w:rPr>
              <w:t>;</w:t>
            </w:r>
          </w:p>
          <w:p w14:paraId="176BCE0E" w14:textId="77777777" w:rsidR="00655FA4" w:rsidRPr="008314A9" w:rsidRDefault="00655FA4" w:rsidP="004A507D">
            <w:pPr>
              <w:pStyle w:val="Sarakstarindkopa"/>
              <w:numPr>
                <w:ilvl w:val="1"/>
                <w:numId w:val="12"/>
              </w:numPr>
              <w:spacing w:before="120" w:after="120"/>
              <w:jc w:val="both"/>
              <w:rPr>
                <w:rFonts w:cs="Times New Roman"/>
                <w:b w:val="0"/>
                <w:bCs/>
                <w:sz w:val="24"/>
                <w:szCs w:val="24"/>
                <w:lang w:val="lv-LV"/>
              </w:rPr>
            </w:pPr>
            <w:r w:rsidRPr="008314A9">
              <w:rPr>
                <w:rFonts w:cs="Times New Roman"/>
                <w:b w:val="0"/>
                <w:bCs/>
                <w:sz w:val="24"/>
                <w:szCs w:val="24"/>
                <w:lang w:val="lv-LV"/>
              </w:rPr>
              <w:t>projekta ietvaros jaunradīto produktu, pakalpojumu vai tehnoloģiju neto apgrozījums (</w:t>
            </w:r>
            <w:proofErr w:type="spellStart"/>
            <w:r w:rsidRPr="008314A9">
              <w:rPr>
                <w:rFonts w:cs="Times New Roman"/>
                <w:b w:val="0"/>
                <w:bCs/>
                <w:sz w:val="24"/>
                <w:szCs w:val="24"/>
                <w:lang w:val="lv-LV"/>
              </w:rPr>
              <w:t>euro</w:t>
            </w:r>
            <w:proofErr w:type="spellEnd"/>
            <w:r w:rsidRPr="008314A9">
              <w:rPr>
                <w:rFonts w:cs="Times New Roman"/>
                <w:b w:val="0"/>
                <w:bCs/>
                <w:sz w:val="24"/>
                <w:szCs w:val="24"/>
                <w:lang w:val="lv-LV"/>
              </w:rPr>
              <w:t>) salīdzinājumā ar pirmo projekta īstenošanas gadu;</w:t>
            </w:r>
          </w:p>
          <w:p w14:paraId="1DCCB12D" w14:textId="77777777" w:rsidR="00655FA4" w:rsidRPr="008314A9" w:rsidRDefault="00655FA4" w:rsidP="004A507D">
            <w:pPr>
              <w:pStyle w:val="Sarakstarindkopa"/>
              <w:numPr>
                <w:ilvl w:val="1"/>
                <w:numId w:val="12"/>
              </w:numPr>
              <w:spacing w:before="120" w:after="120"/>
              <w:jc w:val="both"/>
              <w:rPr>
                <w:rFonts w:cs="Times New Roman"/>
                <w:b w:val="0"/>
                <w:bCs/>
                <w:sz w:val="24"/>
                <w:szCs w:val="24"/>
                <w:lang w:val="lv-LV"/>
              </w:rPr>
            </w:pPr>
            <w:r w:rsidRPr="008314A9">
              <w:rPr>
                <w:rFonts w:cs="Times New Roman"/>
                <w:b w:val="0"/>
                <w:bCs/>
                <w:sz w:val="24"/>
                <w:szCs w:val="24"/>
                <w:lang w:val="lv-LV"/>
              </w:rPr>
              <w:t>projekta ietvaros jaunradīto produktu, pakalpojumu vai tehnoloģiju eksports (</w:t>
            </w:r>
            <w:proofErr w:type="spellStart"/>
            <w:r w:rsidRPr="008314A9">
              <w:rPr>
                <w:rFonts w:cs="Times New Roman"/>
                <w:b w:val="0"/>
                <w:bCs/>
                <w:sz w:val="24"/>
                <w:szCs w:val="24"/>
                <w:lang w:val="lv-LV"/>
              </w:rPr>
              <w:t>euro</w:t>
            </w:r>
            <w:proofErr w:type="spellEnd"/>
            <w:r w:rsidRPr="008314A9">
              <w:rPr>
                <w:rFonts w:cs="Times New Roman"/>
                <w:b w:val="0"/>
                <w:bCs/>
                <w:sz w:val="24"/>
                <w:szCs w:val="24"/>
                <w:lang w:val="lv-LV"/>
              </w:rPr>
              <w:t>) salīdzinājumā ar pirmo projekta īstenošanas gadu;</w:t>
            </w:r>
          </w:p>
          <w:p w14:paraId="50B5C6C4" w14:textId="77777777" w:rsidR="00655FA4" w:rsidRPr="008314A9" w:rsidRDefault="00655FA4" w:rsidP="004A507D">
            <w:pPr>
              <w:pStyle w:val="Sarakstarindkopa"/>
              <w:numPr>
                <w:ilvl w:val="1"/>
                <w:numId w:val="12"/>
              </w:numPr>
              <w:spacing w:before="120" w:after="120"/>
              <w:jc w:val="both"/>
              <w:rPr>
                <w:rFonts w:cs="Times New Roman"/>
                <w:b w:val="0"/>
                <w:bCs/>
                <w:sz w:val="24"/>
                <w:szCs w:val="24"/>
                <w:lang w:val="lv-LV"/>
              </w:rPr>
            </w:pPr>
            <w:r w:rsidRPr="008314A9">
              <w:rPr>
                <w:rFonts w:cs="Times New Roman"/>
                <w:b w:val="0"/>
                <w:bCs/>
                <w:sz w:val="24"/>
                <w:szCs w:val="24"/>
                <w:lang w:val="lv-LV"/>
              </w:rPr>
              <w:t xml:space="preserve">ārējie izdevumi pētniecības darbiem, kas pasūtīti citās iestādēs, uzņēmumos, organizācijās (pētniecības un attīstības izdevumu apjoms, </w:t>
            </w:r>
            <w:proofErr w:type="spellStart"/>
            <w:r w:rsidRPr="008314A9">
              <w:rPr>
                <w:rFonts w:cs="Times New Roman"/>
                <w:b w:val="0"/>
                <w:bCs/>
                <w:sz w:val="24"/>
                <w:szCs w:val="24"/>
                <w:lang w:val="lv-LV"/>
              </w:rPr>
              <w:t>euro</w:t>
            </w:r>
            <w:proofErr w:type="spellEnd"/>
            <w:r w:rsidRPr="008314A9">
              <w:rPr>
                <w:rFonts w:cs="Times New Roman"/>
                <w:b w:val="0"/>
                <w:bCs/>
                <w:sz w:val="24"/>
                <w:szCs w:val="24"/>
                <w:lang w:val="lv-LV"/>
              </w:rPr>
              <w:t>);</w:t>
            </w:r>
          </w:p>
          <w:p w14:paraId="6897289D" w14:textId="77777777" w:rsidR="00655FA4" w:rsidRPr="008314A9" w:rsidRDefault="00655FA4" w:rsidP="004A507D">
            <w:pPr>
              <w:pStyle w:val="Sarakstarindkopa"/>
              <w:numPr>
                <w:ilvl w:val="1"/>
                <w:numId w:val="12"/>
              </w:numPr>
              <w:spacing w:before="120" w:after="120"/>
              <w:jc w:val="both"/>
              <w:rPr>
                <w:rFonts w:cs="Times New Roman"/>
                <w:b w:val="0"/>
                <w:bCs/>
                <w:sz w:val="24"/>
                <w:szCs w:val="24"/>
                <w:lang w:val="lv-LV"/>
              </w:rPr>
            </w:pPr>
            <w:r w:rsidRPr="008314A9">
              <w:rPr>
                <w:rFonts w:cs="Times New Roman"/>
                <w:b w:val="0"/>
                <w:bCs/>
                <w:sz w:val="24"/>
                <w:szCs w:val="24"/>
                <w:lang w:val="lv-LV"/>
              </w:rPr>
              <w:t xml:space="preserve">kapitālizdevumi – ēkas, iekārtas, intelektuālā īpašuma tiesības, datoru programmatūra (pētniecības un attīstības izdevumu apjoms, </w:t>
            </w:r>
            <w:proofErr w:type="spellStart"/>
            <w:r w:rsidRPr="008314A9">
              <w:rPr>
                <w:rFonts w:cs="Times New Roman"/>
                <w:b w:val="0"/>
                <w:bCs/>
                <w:sz w:val="24"/>
                <w:szCs w:val="24"/>
                <w:lang w:val="lv-LV"/>
              </w:rPr>
              <w:t>euro</w:t>
            </w:r>
            <w:proofErr w:type="spellEnd"/>
            <w:r w:rsidRPr="008314A9">
              <w:rPr>
                <w:rFonts w:cs="Times New Roman"/>
                <w:b w:val="0"/>
                <w:bCs/>
                <w:sz w:val="24"/>
                <w:szCs w:val="24"/>
                <w:lang w:val="lv-LV"/>
              </w:rPr>
              <w:t>);</w:t>
            </w:r>
          </w:p>
          <w:p w14:paraId="09FDFFF5" w14:textId="77777777" w:rsidR="00655FA4" w:rsidRDefault="00655FA4" w:rsidP="004A507D">
            <w:pPr>
              <w:pStyle w:val="Sarakstarindkopa"/>
              <w:numPr>
                <w:ilvl w:val="1"/>
                <w:numId w:val="12"/>
              </w:numPr>
              <w:spacing w:before="120" w:after="120"/>
              <w:jc w:val="both"/>
              <w:rPr>
                <w:rFonts w:cs="Times New Roman"/>
                <w:b w:val="0"/>
                <w:bCs/>
                <w:sz w:val="24"/>
                <w:szCs w:val="24"/>
                <w:lang w:val="lv-LV"/>
              </w:rPr>
            </w:pPr>
            <w:r w:rsidRPr="008314A9">
              <w:rPr>
                <w:rFonts w:cs="Times New Roman"/>
                <w:b w:val="0"/>
                <w:bCs/>
                <w:sz w:val="24"/>
                <w:szCs w:val="24"/>
                <w:lang w:val="lv-LV"/>
              </w:rPr>
              <w:t>radītie rūpnieciskā īpašuma objekti (skaits):</w:t>
            </w:r>
          </w:p>
          <w:p w14:paraId="70510336" w14:textId="77777777" w:rsidR="00655FA4" w:rsidRPr="00DE78F8" w:rsidRDefault="00655FA4" w:rsidP="004A507D">
            <w:pPr>
              <w:pStyle w:val="Sarakstarindkopa"/>
              <w:numPr>
                <w:ilvl w:val="2"/>
                <w:numId w:val="12"/>
              </w:numPr>
              <w:spacing w:before="120" w:after="120"/>
              <w:jc w:val="both"/>
              <w:rPr>
                <w:rFonts w:cs="Times New Roman"/>
                <w:b w:val="0"/>
                <w:bCs/>
                <w:sz w:val="24"/>
                <w:szCs w:val="24"/>
                <w:lang w:val="lv-LV"/>
              </w:rPr>
            </w:pPr>
            <w:r w:rsidRPr="00DE78F8">
              <w:rPr>
                <w:rFonts w:cs="Times New Roman"/>
                <w:b w:val="0"/>
                <w:bCs/>
                <w:sz w:val="24"/>
                <w:szCs w:val="24"/>
                <w:lang w:val="lv-LV"/>
              </w:rPr>
              <w:t>radītie rūpnieciskā īpašuma objekti – patents un patentu pieteikumi (skaits);</w:t>
            </w:r>
          </w:p>
          <w:p w14:paraId="6EF52B12" w14:textId="77777777" w:rsidR="00655FA4" w:rsidRPr="00DE78F8" w:rsidRDefault="00655FA4" w:rsidP="004A507D">
            <w:pPr>
              <w:pStyle w:val="Sarakstarindkopa"/>
              <w:numPr>
                <w:ilvl w:val="2"/>
                <w:numId w:val="12"/>
              </w:numPr>
              <w:spacing w:before="120" w:after="120"/>
              <w:jc w:val="both"/>
              <w:rPr>
                <w:rFonts w:cs="Times New Roman"/>
                <w:b w:val="0"/>
                <w:bCs/>
                <w:sz w:val="24"/>
                <w:szCs w:val="24"/>
                <w:lang w:val="lv-LV"/>
              </w:rPr>
            </w:pPr>
            <w:r w:rsidRPr="00DE78F8">
              <w:rPr>
                <w:rFonts w:cs="Times New Roman"/>
                <w:b w:val="0"/>
                <w:bCs/>
                <w:sz w:val="24"/>
                <w:szCs w:val="24"/>
                <w:lang w:val="lv-LV"/>
              </w:rPr>
              <w:t>radītie rūpnieciskā īpašuma objekti – augu šķirne (skaits);</w:t>
            </w:r>
          </w:p>
          <w:p w14:paraId="4E824680" w14:textId="77777777" w:rsidR="00655FA4" w:rsidRPr="00DE78F8" w:rsidRDefault="00655FA4" w:rsidP="004A507D">
            <w:pPr>
              <w:pStyle w:val="Sarakstarindkopa"/>
              <w:numPr>
                <w:ilvl w:val="2"/>
                <w:numId w:val="12"/>
              </w:numPr>
              <w:spacing w:before="120" w:after="120"/>
              <w:jc w:val="both"/>
              <w:rPr>
                <w:rFonts w:cs="Times New Roman"/>
                <w:b w:val="0"/>
                <w:bCs/>
                <w:sz w:val="24"/>
                <w:szCs w:val="24"/>
                <w:lang w:val="lv-LV"/>
              </w:rPr>
            </w:pPr>
            <w:r w:rsidRPr="00DE78F8">
              <w:rPr>
                <w:rFonts w:cs="Times New Roman"/>
                <w:b w:val="0"/>
                <w:bCs/>
                <w:sz w:val="24"/>
                <w:szCs w:val="24"/>
                <w:lang w:val="lv-LV"/>
              </w:rPr>
              <w:t>radītie rūpnieciskā īpašuma objekti – reģistrēts dizainparaugs (skaits);</w:t>
            </w:r>
          </w:p>
          <w:p w14:paraId="0A3C5430" w14:textId="77777777" w:rsidR="0071476F" w:rsidRDefault="00655FA4" w:rsidP="0071476F">
            <w:pPr>
              <w:pStyle w:val="Sarakstarindkopa"/>
              <w:numPr>
                <w:ilvl w:val="2"/>
                <w:numId w:val="12"/>
              </w:numPr>
              <w:spacing w:before="120" w:after="120"/>
              <w:jc w:val="both"/>
              <w:rPr>
                <w:rFonts w:cs="Times New Roman"/>
                <w:b w:val="0"/>
                <w:bCs/>
                <w:sz w:val="24"/>
                <w:szCs w:val="24"/>
                <w:lang w:val="lv-LV"/>
              </w:rPr>
            </w:pPr>
            <w:r w:rsidRPr="00DE78F8">
              <w:rPr>
                <w:rFonts w:cs="Times New Roman"/>
                <w:b w:val="0"/>
                <w:bCs/>
                <w:sz w:val="24"/>
                <w:szCs w:val="24"/>
                <w:lang w:val="lv-LV"/>
              </w:rPr>
              <w:t>radītie rūpnieciskā īpašuma objekti – pusvadītāja izstrādājums vai tā pieteikums (skaits);</w:t>
            </w:r>
          </w:p>
          <w:p w14:paraId="1F2CD65D" w14:textId="47765D86" w:rsidR="009C04DD" w:rsidRPr="0071476F" w:rsidRDefault="00655FA4" w:rsidP="0071476F">
            <w:pPr>
              <w:pStyle w:val="Sarakstarindkopa"/>
              <w:numPr>
                <w:ilvl w:val="2"/>
                <w:numId w:val="12"/>
              </w:numPr>
              <w:spacing w:before="120" w:after="120"/>
              <w:jc w:val="both"/>
              <w:rPr>
                <w:rFonts w:cs="Times New Roman"/>
                <w:b w:val="0"/>
                <w:bCs/>
                <w:sz w:val="24"/>
                <w:szCs w:val="24"/>
                <w:lang w:val="lv-LV"/>
              </w:rPr>
            </w:pPr>
            <w:r w:rsidRPr="0071476F">
              <w:rPr>
                <w:rFonts w:cs="Times New Roman"/>
                <w:b w:val="0"/>
                <w:bCs/>
                <w:sz w:val="24"/>
                <w:szCs w:val="24"/>
                <w:lang w:val="lv-LV"/>
              </w:rPr>
              <w:t>radītie</w:t>
            </w:r>
            <w:r w:rsidRPr="0071476F">
              <w:rPr>
                <w:rFonts w:cs="Times New Roman"/>
                <w:bCs/>
                <w:sz w:val="24"/>
                <w:szCs w:val="24"/>
                <w:lang w:val="lv-LV"/>
              </w:rPr>
              <w:t xml:space="preserve"> </w:t>
            </w:r>
            <w:r w:rsidRPr="0071476F">
              <w:rPr>
                <w:rFonts w:cs="Times New Roman"/>
                <w:b w:val="0"/>
                <w:bCs/>
                <w:sz w:val="24"/>
                <w:szCs w:val="24"/>
                <w:lang w:val="lv-LV"/>
              </w:rPr>
              <w:t>rūpnieciskā īpašuma objekti – preču zīme (ieskaitot kolektīvās zīmes) un sertifikācijas zīme (skaits).</w:t>
            </w:r>
          </w:p>
          <w:p w14:paraId="6FF5066B" w14:textId="77777777" w:rsidR="009C04DD" w:rsidRPr="001B4029" w:rsidRDefault="009C04DD" w:rsidP="004A507D">
            <w:pPr>
              <w:jc w:val="both"/>
              <w:rPr>
                <w:rFonts w:ascii="Times New Roman" w:hAnsi="Times New Roman" w:cs="Times New Roman"/>
                <w:sz w:val="24"/>
                <w:szCs w:val="24"/>
                <w:lang w:val="lv-LV"/>
              </w:rPr>
            </w:pPr>
          </w:p>
        </w:tc>
      </w:tr>
      <w:tr w:rsidR="009C04DD" w:rsidRPr="001B4029" w14:paraId="5C4425E6" w14:textId="77777777" w:rsidTr="003F48B2">
        <w:tc>
          <w:tcPr>
            <w:tcW w:w="9350" w:type="dxa"/>
            <w:gridSpan w:val="4"/>
            <w:shd w:val="clear" w:color="auto" w:fill="D9D9D9" w:themeFill="background1" w:themeFillShade="D9"/>
          </w:tcPr>
          <w:p w14:paraId="67FD7B9C" w14:textId="77777777" w:rsidR="009C04DD" w:rsidRPr="001B4029" w:rsidRDefault="009C04DD" w:rsidP="009C04DD">
            <w:pPr>
              <w:pStyle w:val="Sarakstarindkopa"/>
              <w:numPr>
                <w:ilvl w:val="0"/>
                <w:numId w:val="4"/>
              </w:numPr>
              <w:ind w:left="451"/>
              <w:jc w:val="both"/>
              <w:rPr>
                <w:rFonts w:cs="Times New Roman"/>
                <w:sz w:val="24"/>
                <w:szCs w:val="24"/>
                <w:lang w:val="lv-LV"/>
              </w:rPr>
            </w:pPr>
            <w:r w:rsidRPr="001B4029">
              <w:rPr>
                <w:rFonts w:cs="Times New Roman"/>
                <w:sz w:val="24"/>
                <w:szCs w:val="24"/>
                <w:lang w:val="lv-LV"/>
              </w:rPr>
              <w:lastRenderedPageBreak/>
              <w:t xml:space="preserve">Ilgtspēja </w:t>
            </w:r>
          </w:p>
          <w:p w14:paraId="283D8C82" w14:textId="49CCDC65" w:rsidR="009C04DD" w:rsidRPr="001B4029" w:rsidRDefault="009C04DD" w:rsidP="009C04DD">
            <w:pPr>
              <w:jc w:val="both"/>
              <w:rPr>
                <w:rFonts w:ascii="Times New Roman" w:hAnsi="Times New Roman" w:cs="Times New Roman"/>
                <w:sz w:val="24"/>
                <w:szCs w:val="24"/>
                <w:lang w:val="lv-LV"/>
              </w:rPr>
            </w:pPr>
            <w:r w:rsidRPr="001B4029">
              <w:rPr>
                <w:rFonts w:ascii="Times New Roman" w:hAnsi="Times New Roman" w:cs="Times New Roman"/>
                <w:bCs/>
                <w:i/>
                <w:iCs/>
                <w:sz w:val="24"/>
                <w:szCs w:val="24"/>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009C04DD" w:rsidRPr="001B4029" w14:paraId="3B6FCAB8" w14:textId="77777777" w:rsidTr="003F48B2">
        <w:tc>
          <w:tcPr>
            <w:tcW w:w="9350" w:type="dxa"/>
            <w:gridSpan w:val="4"/>
          </w:tcPr>
          <w:p w14:paraId="2EDB0400" w14:textId="52DF9762" w:rsidR="00022EF5" w:rsidRDefault="00022EF5" w:rsidP="00022EF5">
            <w:pPr>
              <w:jc w:val="both"/>
              <w:rPr>
                <w:rFonts w:ascii="Times New Roman" w:hAnsi="Times New Roman" w:cs="Times New Roman"/>
                <w:sz w:val="24"/>
                <w:szCs w:val="24"/>
                <w:lang w:val="lv-LV"/>
              </w:rPr>
            </w:pPr>
            <w:r w:rsidRPr="00022EF5">
              <w:rPr>
                <w:rFonts w:ascii="Times New Roman" w:hAnsi="Times New Roman" w:cs="Times New Roman"/>
                <w:sz w:val="24"/>
                <w:szCs w:val="24"/>
                <w:lang w:val="lv-LV"/>
              </w:rPr>
              <w:t>Kompetences centra ilgtspējas pamatā ir sekmīgas, funkcionālas un rezultatīvas sadarbības platformas izveide, kurā iesaistīti gan nozares sadarbības partneri, gan zinātnisko institūciju pārstāvji, kas kopīgi veic pētnieciskos projektus, sniedz konstruktīvu viedokli par pētījumu gaitu, problēmām, ieteikumus par potenciāli veiksmīgākajiem partneriem, konkrētiem pētniekiem, kuru kompetence būtu kritiska projekta paredzētā rezultāta sasniegšanai.</w:t>
            </w:r>
          </w:p>
          <w:p w14:paraId="34B743A6" w14:textId="77777777" w:rsidR="00022EF5" w:rsidRDefault="00022EF5" w:rsidP="00022EF5">
            <w:pPr>
              <w:jc w:val="both"/>
              <w:rPr>
                <w:rFonts w:ascii="Times New Roman" w:hAnsi="Times New Roman" w:cs="Times New Roman"/>
                <w:sz w:val="24"/>
                <w:szCs w:val="24"/>
                <w:lang w:val="lv-LV"/>
              </w:rPr>
            </w:pPr>
          </w:p>
          <w:p w14:paraId="7CB1F75A" w14:textId="19C1334A" w:rsidR="00022EF5" w:rsidRDefault="00022EF5" w:rsidP="00022EF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2022. gada oktobrī tika </w:t>
            </w:r>
            <w:r w:rsidRPr="00022EF5">
              <w:rPr>
                <w:rFonts w:ascii="Times New Roman" w:hAnsi="Times New Roman" w:cs="Times New Roman"/>
                <w:sz w:val="24"/>
                <w:szCs w:val="24"/>
                <w:lang w:val="lv-LV"/>
              </w:rPr>
              <w:t>izveidota RIS3 viedās specializācijas jomas "</w:t>
            </w:r>
            <w:proofErr w:type="spellStart"/>
            <w:r w:rsidRPr="00022EF5">
              <w:rPr>
                <w:rFonts w:ascii="Times New Roman" w:hAnsi="Times New Roman" w:cs="Times New Roman"/>
                <w:sz w:val="24"/>
                <w:szCs w:val="24"/>
                <w:lang w:val="lv-LV"/>
              </w:rPr>
              <w:t>Fotonika</w:t>
            </w:r>
            <w:proofErr w:type="spellEnd"/>
            <w:r w:rsidRPr="00022EF5">
              <w:rPr>
                <w:rFonts w:ascii="Times New Roman" w:hAnsi="Times New Roman" w:cs="Times New Roman"/>
                <w:sz w:val="24"/>
                <w:szCs w:val="24"/>
                <w:lang w:val="lv-LV"/>
              </w:rPr>
              <w:t xml:space="preserve"> un viedie materiāli, tehnoloģijas un </w:t>
            </w:r>
            <w:proofErr w:type="spellStart"/>
            <w:r w:rsidRPr="00022EF5">
              <w:rPr>
                <w:rFonts w:ascii="Times New Roman" w:hAnsi="Times New Roman" w:cs="Times New Roman"/>
                <w:sz w:val="24"/>
                <w:szCs w:val="24"/>
                <w:lang w:val="lv-LV"/>
              </w:rPr>
              <w:t>inženiersistēmas</w:t>
            </w:r>
            <w:proofErr w:type="spellEnd"/>
            <w:r w:rsidRPr="00022EF5">
              <w:rPr>
                <w:rFonts w:ascii="Times New Roman" w:hAnsi="Times New Roman" w:cs="Times New Roman"/>
                <w:sz w:val="24"/>
                <w:szCs w:val="24"/>
                <w:lang w:val="lv-LV"/>
              </w:rPr>
              <w:t xml:space="preserve">" vadības grupa. Lai veicinātu kopīgu mērķu sasniegšanu inovācijās, konkurētspēju un vispārēju reģionālo un ekonomisko attīstību, vadības </w:t>
            </w:r>
            <w:r w:rsidRPr="00022EF5">
              <w:rPr>
                <w:rFonts w:ascii="Times New Roman" w:hAnsi="Times New Roman" w:cs="Times New Roman"/>
                <w:sz w:val="24"/>
                <w:szCs w:val="24"/>
                <w:lang w:val="lv-LV"/>
              </w:rPr>
              <w:lastRenderedPageBreak/>
              <w:t>grupas sastāvā tiek</w:t>
            </w:r>
            <w:r>
              <w:rPr>
                <w:rFonts w:ascii="Times New Roman" w:hAnsi="Times New Roman" w:cs="Times New Roman"/>
                <w:sz w:val="24"/>
                <w:szCs w:val="24"/>
                <w:lang w:val="lv-LV"/>
              </w:rPr>
              <w:t xml:space="preserve"> iekļauti asociāciju, kompetences</w:t>
            </w:r>
            <w:r w:rsidRPr="00022EF5">
              <w:rPr>
                <w:rFonts w:ascii="Times New Roman" w:hAnsi="Times New Roman" w:cs="Times New Roman"/>
                <w:sz w:val="24"/>
                <w:szCs w:val="24"/>
                <w:lang w:val="lv-LV"/>
              </w:rPr>
              <w:t xml:space="preserve"> centru, izglītības un pētniecības i</w:t>
            </w:r>
            <w:r>
              <w:rPr>
                <w:rFonts w:ascii="Times New Roman" w:hAnsi="Times New Roman" w:cs="Times New Roman"/>
                <w:sz w:val="24"/>
                <w:szCs w:val="24"/>
                <w:lang w:val="lv-LV"/>
              </w:rPr>
              <w:t>estāžu, kā</w:t>
            </w:r>
            <w:r w:rsidRPr="00022EF5">
              <w:rPr>
                <w:rFonts w:ascii="Times New Roman" w:hAnsi="Times New Roman" w:cs="Times New Roman"/>
                <w:sz w:val="24"/>
                <w:szCs w:val="24"/>
                <w:lang w:val="lv-LV"/>
              </w:rPr>
              <w:t xml:space="preserve"> ar</w:t>
            </w:r>
            <w:r>
              <w:rPr>
                <w:rFonts w:ascii="Times New Roman" w:hAnsi="Times New Roman" w:cs="Times New Roman"/>
                <w:sz w:val="24"/>
                <w:szCs w:val="24"/>
                <w:lang w:val="lv-LV"/>
              </w:rPr>
              <w:t xml:space="preserve">ī ministriju deleģēti pārstāvji, tostarp MASOC, kas ir izteikusi atbalstu projektam “Mašīnbūves kompetences centra atbalsts pētniecībai”, </w:t>
            </w:r>
            <w:r w:rsidR="00D874B9">
              <w:rPr>
                <w:rFonts w:ascii="Times New Roman" w:hAnsi="Times New Roman" w:cs="Times New Roman"/>
                <w:sz w:val="24"/>
                <w:szCs w:val="24"/>
                <w:lang w:val="lv-LV"/>
              </w:rPr>
              <w:t xml:space="preserve">kā arī projekta iesniedzējs </w:t>
            </w:r>
            <w:r w:rsidRPr="00022EF5">
              <w:rPr>
                <w:rFonts w:ascii="Times New Roman" w:hAnsi="Times New Roman" w:cs="Times New Roman"/>
                <w:sz w:val="24"/>
                <w:szCs w:val="24"/>
                <w:lang w:val="lv-LV"/>
              </w:rPr>
              <w:t>SIA "MAŠĪNB</w:t>
            </w:r>
            <w:r>
              <w:rPr>
                <w:rFonts w:ascii="Times New Roman" w:hAnsi="Times New Roman" w:cs="Times New Roman"/>
                <w:sz w:val="24"/>
                <w:szCs w:val="24"/>
                <w:lang w:val="lv-LV"/>
              </w:rPr>
              <w:t>ŪVES KOMPETENCES</w:t>
            </w:r>
            <w:r w:rsidR="00D874B9">
              <w:rPr>
                <w:rFonts w:ascii="Times New Roman" w:hAnsi="Times New Roman" w:cs="Times New Roman"/>
                <w:sz w:val="24"/>
                <w:szCs w:val="24"/>
                <w:lang w:val="lv-LV"/>
              </w:rPr>
              <w:t xml:space="preserve"> CENTRS"</w:t>
            </w:r>
            <w:r>
              <w:rPr>
                <w:rFonts w:ascii="Times New Roman" w:hAnsi="Times New Roman" w:cs="Times New Roman"/>
                <w:sz w:val="24"/>
                <w:szCs w:val="24"/>
                <w:lang w:val="lv-LV"/>
              </w:rPr>
              <w:t>. Par šīs vadības grupas priekšsēdētāju</w:t>
            </w:r>
            <w:r w:rsidRPr="00022EF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izvēlēts Kompetences centra zinātniskā virziena vadītājs Ivars Eniņš. </w:t>
            </w:r>
          </w:p>
          <w:p w14:paraId="79B5EA04" w14:textId="77777777" w:rsidR="00022EF5" w:rsidRPr="00022EF5" w:rsidRDefault="00022EF5" w:rsidP="00022EF5">
            <w:pPr>
              <w:jc w:val="both"/>
              <w:rPr>
                <w:rFonts w:ascii="Times New Roman" w:hAnsi="Times New Roman" w:cs="Times New Roman"/>
                <w:sz w:val="24"/>
                <w:szCs w:val="24"/>
                <w:lang w:val="lv-LV"/>
              </w:rPr>
            </w:pPr>
          </w:p>
          <w:p w14:paraId="526B2DB5" w14:textId="77777777" w:rsidR="00022EF5" w:rsidRPr="00022EF5" w:rsidRDefault="00022EF5" w:rsidP="00022EF5">
            <w:pPr>
              <w:jc w:val="both"/>
              <w:rPr>
                <w:rFonts w:ascii="Times New Roman" w:hAnsi="Times New Roman" w:cs="Times New Roman"/>
                <w:sz w:val="24"/>
                <w:szCs w:val="24"/>
                <w:lang w:val="lv-LV"/>
              </w:rPr>
            </w:pPr>
            <w:r w:rsidRPr="00022EF5">
              <w:rPr>
                <w:rFonts w:ascii="Times New Roman" w:hAnsi="Times New Roman" w:cs="Times New Roman"/>
                <w:sz w:val="24"/>
                <w:szCs w:val="24"/>
                <w:lang w:val="lv-LV"/>
              </w:rPr>
              <w:t>RIS3 vadības grupas dalībniekiem sadarbojoties tika izstrādāta un 2023. gada 13. janvārī apstiprināta jomas Stratēģija (vadības grupas sēdes Protokols Nr.2 (2023)), savukārt 2023. gada 26. janvārī apstiprināts Rīcības plāns 2023. gadam (vadības grupas sēdes Protokols Nr.3 (2023)).</w:t>
            </w:r>
          </w:p>
          <w:p w14:paraId="74C555E3" w14:textId="77777777" w:rsidR="00022EF5" w:rsidRPr="00022EF5" w:rsidRDefault="00022EF5" w:rsidP="00022EF5">
            <w:pPr>
              <w:jc w:val="both"/>
              <w:rPr>
                <w:rFonts w:ascii="Times New Roman" w:hAnsi="Times New Roman" w:cs="Times New Roman"/>
                <w:sz w:val="24"/>
                <w:szCs w:val="24"/>
                <w:lang w:val="lv-LV"/>
              </w:rPr>
            </w:pPr>
          </w:p>
          <w:p w14:paraId="517CDD33" w14:textId="2F5B389C" w:rsidR="00022EF5" w:rsidRPr="00022EF5" w:rsidRDefault="00022EF5" w:rsidP="00022EF5">
            <w:pPr>
              <w:jc w:val="both"/>
              <w:rPr>
                <w:rFonts w:ascii="Times New Roman" w:hAnsi="Times New Roman" w:cs="Times New Roman"/>
                <w:sz w:val="24"/>
                <w:szCs w:val="24"/>
                <w:lang w:val="lv-LV"/>
              </w:rPr>
            </w:pPr>
            <w:r w:rsidRPr="00022EF5">
              <w:rPr>
                <w:rFonts w:ascii="Times New Roman" w:hAnsi="Times New Roman" w:cs="Times New Roman"/>
                <w:sz w:val="24"/>
                <w:szCs w:val="24"/>
                <w:lang w:val="lv-LV"/>
              </w:rPr>
              <w:t>2022. gadā šajā nozarē notika darbs pie stratēģijas izstrādes, kas ietvēra gan informācijas ievākšanu, gan iesaistīto pušu informēšanu par darbības principiem. Tika organizētas tikšanās ar jomas pārstāvjiem, kurās apspriesta gan RIS3 jaunā pārvaldības modeļa struktūra, gan nozares aktualitātes, kā arī svarīgie stratēģijas aspekti kā jomas prioritātes un misija, pētniecības un attīstības virzieni un jomas ieguldījums NIP 2027 mērķu sasniegšanai.</w:t>
            </w:r>
          </w:p>
          <w:p w14:paraId="2335442D" w14:textId="77777777" w:rsidR="00022EF5" w:rsidRDefault="00022EF5" w:rsidP="00022EF5">
            <w:pPr>
              <w:jc w:val="both"/>
              <w:rPr>
                <w:rFonts w:ascii="Times New Roman" w:hAnsi="Times New Roman" w:cs="Times New Roman"/>
                <w:sz w:val="24"/>
                <w:szCs w:val="24"/>
                <w:lang w:val="lv-LV"/>
              </w:rPr>
            </w:pPr>
          </w:p>
          <w:p w14:paraId="6CFF7CAF" w14:textId="5BD64C68" w:rsidR="00022EF5" w:rsidRDefault="00022EF5" w:rsidP="00022EF5">
            <w:pPr>
              <w:jc w:val="both"/>
              <w:rPr>
                <w:rFonts w:ascii="Times New Roman" w:hAnsi="Times New Roman" w:cs="Times New Roman"/>
                <w:sz w:val="24"/>
                <w:szCs w:val="24"/>
                <w:lang w:val="lv-LV"/>
              </w:rPr>
            </w:pPr>
            <w:r w:rsidRPr="00022EF5">
              <w:rPr>
                <w:rFonts w:ascii="Times New Roman" w:hAnsi="Times New Roman" w:cs="Times New Roman"/>
                <w:b/>
                <w:sz w:val="24"/>
                <w:szCs w:val="24"/>
                <w:lang w:val="lv-LV"/>
              </w:rPr>
              <w:t>Finansiālā ilgtspēja.</w:t>
            </w:r>
            <w:r w:rsidRPr="00022EF5">
              <w:rPr>
                <w:rFonts w:ascii="Times New Roman" w:hAnsi="Times New Roman" w:cs="Times New Roman"/>
                <w:sz w:val="24"/>
                <w:szCs w:val="24"/>
                <w:lang w:val="lv-LV"/>
              </w:rPr>
              <w:t xml:space="preserve"> Kompetences centrā paredzētas salīdzinoši nelielas pastāvīgās administratīvās izmaksas, kas saistītas ar centra vadības darba atalgojuma nodrošināšanu, ievērojami lielākas ir mainīgās izmaksas, kuras ir atkarīgas no pētniecisko projektu skaita, kas tiek īstenots. Turklāt centrs ir paredzēts kā sadarbības platforma bez savas infrastruktūras vai ar ievērojamu skaitu darbinieku, kuru darbības uzturēšanai un nodrošināšanai, kā arī atalgojumam nepieciešamas lielas pastāvīgās izmaksas līdzekļi. Savukārt pēc projekta īstenošanas plānots, ka kompetences centra sadarbības partneri un dalībnieki, lai nodrošinātu kompetences centra kā sadarbības platformas turpmāku darbību, finansē centra nelielās administratīvās izmaksas, savukārt konkrētiem </w:t>
            </w:r>
            <w:r w:rsidR="00FE4CFA" w:rsidRPr="00022EF5">
              <w:rPr>
                <w:rFonts w:ascii="Times New Roman" w:hAnsi="Times New Roman" w:cs="Times New Roman"/>
                <w:sz w:val="24"/>
                <w:szCs w:val="24"/>
                <w:lang w:val="lv-LV"/>
              </w:rPr>
              <w:t>pēt</w:t>
            </w:r>
            <w:r w:rsidR="00FE4CFA">
              <w:rPr>
                <w:rFonts w:ascii="Times New Roman" w:hAnsi="Times New Roman" w:cs="Times New Roman"/>
                <w:sz w:val="24"/>
                <w:szCs w:val="24"/>
                <w:lang w:val="lv-LV"/>
              </w:rPr>
              <w:t>niecības projektiem</w:t>
            </w:r>
            <w:r w:rsidR="00FE4CFA" w:rsidRPr="00022EF5">
              <w:rPr>
                <w:rFonts w:ascii="Times New Roman" w:hAnsi="Times New Roman" w:cs="Times New Roman"/>
                <w:sz w:val="24"/>
                <w:szCs w:val="24"/>
                <w:lang w:val="lv-LV"/>
              </w:rPr>
              <w:t xml:space="preserve"> </w:t>
            </w:r>
            <w:r w:rsidRPr="00022EF5">
              <w:rPr>
                <w:rFonts w:ascii="Times New Roman" w:hAnsi="Times New Roman" w:cs="Times New Roman"/>
                <w:sz w:val="24"/>
                <w:szCs w:val="24"/>
                <w:lang w:val="lv-LV"/>
              </w:rPr>
              <w:t>finansējums tiek piesaistīts no citiem avotiem (citas programmas, projekti, kredīti, pētījumu rezultātu komercializēšanas veidā gūtie ienākumi, privātais finansējums utt.). Tādējādi kompetences centra finansiālā ilgtspēja tiek nodrošināta tā darbības pamatprincipiem, kas ierobežo lieku un nenosegtu izdevumu rašanās iespējas.</w:t>
            </w:r>
          </w:p>
          <w:p w14:paraId="23D95448" w14:textId="77777777" w:rsidR="00D874B9" w:rsidRPr="00022EF5" w:rsidRDefault="00D874B9" w:rsidP="00022EF5">
            <w:pPr>
              <w:jc w:val="both"/>
              <w:rPr>
                <w:rFonts w:ascii="Times New Roman" w:hAnsi="Times New Roman" w:cs="Times New Roman"/>
                <w:sz w:val="24"/>
                <w:szCs w:val="24"/>
                <w:lang w:val="lv-LV"/>
              </w:rPr>
            </w:pPr>
          </w:p>
          <w:p w14:paraId="205F25DC" w14:textId="77777777" w:rsidR="00022EF5" w:rsidRDefault="00022EF5" w:rsidP="00022EF5">
            <w:pPr>
              <w:jc w:val="both"/>
              <w:rPr>
                <w:rFonts w:ascii="Times New Roman" w:hAnsi="Times New Roman" w:cs="Times New Roman"/>
                <w:sz w:val="24"/>
                <w:szCs w:val="24"/>
                <w:lang w:val="lv-LV"/>
              </w:rPr>
            </w:pPr>
            <w:r w:rsidRPr="00022EF5">
              <w:rPr>
                <w:rFonts w:ascii="Times New Roman" w:hAnsi="Times New Roman" w:cs="Times New Roman"/>
                <w:b/>
                <w:sz w:val="24"/>
                <w:szCs w:val="24"/>
                <w:lang w:val="lv-LV"/>
              </w:rPr>
              <w:t>Politiskā ilgtspēja.</w:t>
            </w:r>
            <w:r w:rsidRPr="00022EF5">
              <w:rPr>
                <w:rFonts w:ascii="Times New Roman" w:hAnsi="Times New Roman" w:cs="Times New Roman"/>
                <w:sz w:val="24"/>
                <w:szCs w:val="24"/>
                <w:lang w:val="lv-LV"/>
              </w:rPr>
              <w:t xml:space="preserve">  Kompetences centrs ir saņēmis atbalstu no Mašīnbūves un metālapstrādes nozares asociācijas, kas ir būtisks spēlētājs jomas interešu pārstāvniecībā. Pēc projekta tas turpinās darbu pie nozares uzņēmumu interešu pārstāvniecības, ietekmējot politikas dokumentu izstrādi, nodrošinot kompetences centra darbībā gūto atziņu ieviešanu jaunu politikas dokumentu izstrādē, veicinot turpmākus valsts ieguldījumus augstākās izglītības, zinātnes un privātā sektora sadarbībā utt.</w:t>
            </w:r>
          </w:p>
          <w:p w14:paraId="6383230C" w14:textId="77777777" w:rsidR="00D874B9" w:rsidRPr="00022EF5" w:rsidRDefault="00D874B9" w:rsidP="00022EF5">
            <w:pPr>
              <w:jc w:val="both"/>
              <w:rPr>
                <w:rFonts w:ascii="Times New Roman" w:hAnsi="Times New Roman" w:cs="Times New Roman"/>
                <w:sz w:val="24"/>
                <w:szCs w:val="24"/>
                <w:lang w:val="lv-LV"/>
              </w:rPr>
            </w:pPr>
          </w:p>
          <w:p w14:paraId="7D3C2C21" w14:textId="77777777" w:rsidR="00022EF5" w:rsidRDefault="00022EF5" w:rsidP="00022EF5">
            <w:pPr>
              <w:jc w:val="both"/>
              <w:rPr>
                <w:rFonts w:ascii="Times New Roman" w:hAnsi="Times New Roman" w:cs="Times New Roman"/>
                <w:sz w:val="24"/>
                <w:szCs w:val="24"/>
                <w:lang w:val="lv-LV"/>
              </w:rPr>
            </w:pPr>
            <w:r w:rsidRPr="00022EF5">
              <w:rPr>
                <w:rFonts w:ascii="Times New Roman" w:hAnsi="Times New Roman" w:cs="Times New Roman"/>
                <w:b/>
                <w:sz w:val="24"/>
                <w:szCs w:val="24"/>
                <w:lang w:val="lv-LV"/>
              </w:rPr>
              <w:t>Institucionālā ilgtspēja.</w:t>
            </w:r>
            <w:r w:rsidRPr="00022EF5">
              <w:rPr>
                <w:rFonts w:ascii="Times New Roman" w:hAnsi="Times New Roman" w:cs="Times New Roman"/>
                <w:sz w:val="24"/>
                <w:szCs w:val="24"/>
                <w:lang w:val="lv-LV"/>
              </w:rPr>
              <w:t xml:space="preserve"> Projekta laikā tiks izveidota funkcionējoša sadarbības platforma (zināšanu bāze, pētījumu iestrādes, cilvēkresursi, materiāltehniskie u.c. citi resursi) starp uzņēmējiem un zinātniskajām institūcijām, kas dažādos sadarbības modeļos varēs turpināt savu darbību arī pēc projekta beigām, radot jaunus un eksportspējīgus produktus (piedaloties citos projektos, veicot jaunas pētniecības un attīstības aktivitātes uzņēmuma vajadzībām utt.) Jāmin, ka MASOC jau līdz šim ilgstoši sekmīgi darbojies kā sadarbības platforma, veicinot sadarbību starp uzņēmumiem un zinātniskajām institūcijām, tāpēc Mašīnbūves kompetences centrs kā nodalīta struktūra šo funkciju veikšanai turpmāk būs nozīmīgākā šāda veida uzņēmumu un zinātnisko institūciju sadarbības platforma nozarē.</w:t>
            </w:r>
          </w:p>
          <w:p w14:paraId="38E47BD8" w14:textId="77777777" w:rsidR="00D874B9" w:rsidRPr="00022EF5" w:rsidRDefault="00D874B9" w:rsidP="00022EF5">
            <w:pPr>
              <w:jc w:val="both"/>
              <w:rPr>
                <w:rFonts w:ascii="Times New Roman" w:hAnsi="Times New Roman" w:cs="Times New Roman"/>
                <w:sz w:val="24"/>
                <w:szCs w:val="24"/>
                <w:lang w:val="lv-LV"/>
              </w:rPr>
            </w:pPr>
          </w:p>
          <w:p w14:paraId="2B1BBFFB" w14:textId="1819E6C8" w:rsidR="009C04DD" w:rsidRPr="001B4029" w:rsidRDefault="00022EF5" w:rsidP="00022EF5">
            <w:pPr>
              <w:jc w:val="both"/>
              <w:rPr>
                <w:rFonts w:ascii="Times New Roman" w:hAnsi="Times New Roman" w:cs="Times New Roman"/>
                <w:sz w:val="24"/>
                <w:szCs w:val="24"/>
                <w:lang w:val="lv-LV"/>
              </w:rPr>
            </w:pPr>
            <w:r w:rsidRPr="00022EF5">
              <w:rPr>
                <w:rFonts w:ascii="Times New Roman" w:hAnsi="Times New Roman" w:cs="Times New Roman"/>
                <w:b/>
                <w:sz w:val="24"/>
                <w:szCs w:val="24"/>
                <w:lang w:val="lv-LV"/>
              </w:rPr>
              <w:lastRenderedPageBreak/>
              <w:t>Projekta rezultātu ilgtspēja.</w:t>
            </w:r>
            <w:r w:rsidRPr="00022EF5">
              <w:rPr>
                <w:rFonts w:ascii="Times New Roman" w:hAnsi="Times New Roman" w:cs="Times New Roman"/>
                <w:sz w:val="24"/>
                <w:szCs w:val="24"/>
                <w:lang w:val="lv-LV"/>
              </w:rPr>
              <w:t xml:space="preserve"> Saskaņā ar vērtēšanas kritērijiem tiek atbalstīti pētniecības projekti ar augstu komercializācijas un eksporta potenciālu, kas nosaka projekta rezultātu izmantošanu arī pēc projekta beigām. Turklāt projekta rezultātu ilgtspēju ievērojami sekmēs kompetences centra </w:t>
            </w:r>
            <w:r>
              <w:rPr>
                <w:rFonts w:ascii="Times New Roman" w:hAnsi="Times New Roman" w:cs="Times New Roman"/>
                <w:sz w:val="24"/>
                <w:szCs w:val="24"/>
                <w:lang w:val="lv-LV"/>
              </w:rPr>
              <w:t xml:space="preserve">iepriekš aprakstītā </w:t>
            </w:r>
            <w:r w:rsidRPr="00022EF5">
              <w:rPr>
                <w:rFonts w:ascii="Times New Roman" w:hAnsi="Times New Roman" w:cs="Times New Roman"/>
                <w:sz w:val="24"/>
                <w:szCs w:val="24"/>
                <w:lang w:val="lv-LV"/>
              </w:rPr>
              <w:t>plānotā sadarbība starptautiskā līmenī.</w:t>
            </w:r>
          </w:p>
          <w:p w14:paraId="614BFE83" w14:textId="77777777" w:rsidR="009C04DD" w:rsidRPr="001B4029" w:rsidRDefault="009C04DD" w:rsidP="009C04DD">
            <w:pPr>
              <w:jc w:val="both"/>
              <w:rPr>
                <w:rFonts w:ascii="Times New Roman" w:hAnsi="Times New Roman" w:cs="Times New Roman"/>
                <w:sz w:val="24"/>
                <w:szCs w:val="24"/>
                <w:lang w:val="lv-LV"/>
              </w:rPr>
            </w:pPr>
          </w:p>
        </w:tc>
      </w:tr>
    </w:tbl>
    <w:p w14:paraId="2C078E63" w14:textId="77777777" w:rsidR="005B0C26" w:rsidRPr="001B4029" w:rsidRDefault="005B0C26" w:rsidP="00747B2D">
      <w:pPr>
        <w:spacing w:after="0" w:line="240" w:lineRule="auto"/>
        <w:rPr>
          <w:rFonts w:ascii="Times New Roman" w:hAnsi="Times New Roman" w:cs="Times New Roman"/>
          <w:sz w:val="24"/>
          <w:szCs w:val="24"/>
          <w:lang w:val="lv-LV"/>
        </w:rPr>
      </w:pPr>
    </w:p>
    <w:sectPr w:rsidR="005B0C26" w:rsidRPr="001B4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FEF"/>
    <w:multiLevelType w:val="hybridMultilevel"/>
    <w:tmpl w:val="5492D712"/>
    <w:lvl w:ilvl="0" w:tplc="92984BF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2A0170"/>
    <w:multiLevelType w:val="hybridMultilevel"/>
    <w:tmpl w:val="CA74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5553B"/>
    <w:multiLevelType w:val="hybridMultilevel"/>
    <w:tmpl w:val="393ADD82"/>
    <w:lvl w:ilvl="0" w:tplc="D0863B3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8914DD"/>
    <w:multiLevelType w:val="hybridMultilevel"/>
    <w:tmpl w:val="4588055E"/>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37050B"/>
    <w:multiLevelType w:val="hybridMultilevel"/>
    <w:tmpl w:val="393ADD82"/>
    <w:lvl w:ilvl="0" w:tplc="D0863B3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C1083"/>
    <w:multiLevelType w:val="hybridMultilevel"/>
    <w:tmpl w:val="694C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0498A"/>
    <w:multiLevelType w:val="hybridMultilevel"/>
    <w:tmpl w:val="E24403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EFA3701"/>
    <w:multiLevelType w:val="hybridMultilevel"/>
    <w:tmpl w:val="43DA822A"/>
    <w:lvl w:ilvl="0" w:tplc="92984BF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EA72E1"/>
    <w:multiLevelType w:val="hybridMultilevel"/>
    <w:tmpl w:val="393ADD82"/>
    <w:lvl w:ilvl="0" w:tplc="D0863B3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6C3B03"/>
    <w:multiLevelType w:val="hybridMultilevel"/>
    <w:tmpl w:val="443283F2"/>
    <w:lvl w:ilvl="0" w:tplc="4606DB1C">
      <w:numFmt w:val="bullet"/>
      <w:lvlText w:val="-"/>
      <w:lvlJc w:val="left"/>
      <w:pPr>
        <w:ind w:left="720" w:hanging="72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17411F"/>
    <w:multiLevelType w:val="multilevel"/>
    <w:tmpl w:val="A8F44078"/>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792" w:hanging="432"/>
      </w:pPr>
      <w:rPr>
        <w:rFonts w:hint="default"/>
        <w:b/>
        <w:bCs/>
        <w:sz w:val="22"/>
        <w:szCs w:val="20"/>
      </w:rPr>
    </w:lvl>
    <w:lvl w:ilvl="2">
      <w:start w:val="1"/>
      <w:numFmt w:val="decimal"/>
      <w:pStyle w:val="Virsraksts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0"/>
  </w:num>
  <w:num w:numId="3">
    <w:abstractNumId w:val="5"/>
  </w:num>
  <w:num w:numId="4">
    <w:abstractNumId w:val="6"/>
  </w:num>
  <w:num w:numId="5">
    <w:abstractNumId w:val="8"/>
  </w:num>
  <w:num w:numId="6">
    <w:abstractNumId w:val="4"/>
  </w:num>
  <w:num w:numId="7">
    <w:abstractNumId w:val="2"/>
  </w:num>
  <w:num w:numId="8">
    <w:abstractNumId w:val="9"/>
  </w:num>
  <w:num w:numId="9">
    <w:abstractNumId w:val="3"/>
  </w:num>
  <w:num w:numId="10">
    <w:abstractNumId w:val="7"/>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04ED1"/>
    <w:rsid w:val="00012BAF"/>
    <w:rsid w:val="00022EF5"/>
    <w:rsid w:val="00060965"/>
    <w:rsid w:val="00081886"/>
    <w:rsid w:val="00083DA2"/>
    <w:rsid w:val="000921F0"/>
    <w:rsid w:val="000A0435"/>
    <w:rsid w:val="000F3620"/>
    <w:rsid w:val="00120373"/>
    <w:rsid w:val="001B4029"/>
    <w:rsid w:val="00214EB4"/>
    <w:rsid w:val="0024654D"/>
    <w:rsid w:val="002C4376"/>
    <w:rsid w:val="002D4AA4"/>
    <w:rsid w:val="002E1C69"/>
    <w:rsid w:val="002F05BC"/>
    <w:rsid w:val="00303252"/>
    <w:rsid w:val="00307397"/>
    <w:rsid w:val="0031752E"/>
    <w:rsid w:val="003423C9"/>
    <w:rsid w:val="003565B6"/>
    <w:rsid w:val="00374ED4"/>
    <w:rsid w:val="00375014"/>
    <w:rsid w:val="003E39F8"/>
    <w:rsid w:val="003E7288"/>
    <w:rsid w:val="003F48B2"/>
    <w:rsid w:val="004024ED"/>
    <w:rsid w:val="00402CFA"/>
    <w:rsid w:val="00441695"/>
    <w:rsid w:val="004A507D"/>
    <w:rsid w:val="004C0415"/>
    <w:rsid w:val="004C7A60"/>
    <w:rsid w:val="004D54E9"/>
    <w:rsid w:val="00507739"/>
    <w:rsid w:val="0051014B"/>
    <w:rsid w:val="0052739C"/>
    <w:rsid w:val="00582385"/>
    <w:rsid w:val="005A5335"/>
    <w:rsid w:val="005B0C26"/>
    <w:rsid w:val="005D612F"/>
    <w:rsid w:val="0063691A"/>
    <w:rsid w:val="00655FA4"/>
    <w:rsid w:val="0066678D"/>
    <w:rsid w:val="0067131B"/>
    <w:rsid w:val="00690FCC"/>
    <w:rsid w:val="006D305C"/>
    <w:rsid w:val="007048A0"/>
    <w:rsid w:val="0071476F"/>
    <w:rsid w:val="0074303F"/>
    <w:rsid w:val="00747B2D"/>
    <w:rsid w:val="0076051C"/>
    <w:rsid w:val="00777527"/>
    <w:rsid w:val="0079336B"/>
    <w:rsid w:val="007B3235"/>
    <w:rsid w:val="007B4D32"/>
    <w:rsid w:val="007C1E99"/>
    <w:rsid w:val="007C2005"/>
    <w:rsid w:val="007E7831"/>
    <w:rsid w:val="007F29D1"/>
    <w:rsid w:val="00821861"/>
    <w:rsid w:val="00830683"/>
    <w:rsid w:val="00846115"/>
    <w:rsid w:val="00857B1D"/>
    <w:rsid w:val="008805A0"/>
    <w:rsid w:val="008D696F"/>
    <w:rsid w:val="008E1543"/>
    <w:rsid w:val="008F7151"/>
    <w:rsid w:val="00902D63"/>
    <w:rsid w:val="00915969"/>
    <w:rsid w:val="00916C90"/>
    <w:rsid w:val="00923F4D"/>
    <w:rsid w:val="00965434"/>
    <w:rsid w:val="009C04DD"/>
    <w:rsid w:val="00A13BBB"/>
    <w:rsid w:val="00A40D21"/>
    <w:rsid w:val="00B0033C"/>
    <w:rsid w:val="00B37CC1"/>
    <w:rsid w:val="00B43C24"/>
    <w:rsid w:val="00B60FAA"/>
    <w:rsid w:val="00B73683"/>
    <w:rsid w:val="00B7468D"/>
    <w:rsid w:val="00BA0302"/>
    <w:rsid w:val="00BE0343"/>
    <w:rsid w:val="00C11061"/>
    <w:rsid w:val="00C64074"/>
    <w:rsid w:val="00C849ED"/>
    <w:rsid w:val="00D15B53"/>
    <w:rsid w:val="00D16B4B"/>
    <w:rsid w:val="00D874B9"/>
    <w:rsid w:val="00DB0EA1"/>
    <w:rsid w:val="00DD7D02"/>
    <w:rsid w:val="00E015D7"/>
    <w:rsid w:val="00E71B42"/>
    <w:rsid w:val="00E7246D"/>
    <w:rsid w:val="00E72C5A"/>
    <w:rsid w:val="00E756D1"/>
    <w:rsid w:val="00EB0921"/>
    <w:rsid w:val="00EE3AE1"/>
    <w:rsid w:val="00F20978"/>
    <w:rsid w:val="00F70366"/>
    <w:rsid w:val="00FD5274"/>
    <w:rsid w:val="00FE3F6F"/>
    <w:rsid w:val="00FE4CFA"/>
    <w:rsid w:val="00FF468D"/>
    <w:rsid w:val="03AFE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Sarakstarindkopa"/>
    <w:next w:val="Parasts"/>
    <w:link w:val="Virsraksts1Rakstz"/>
    <w:uiPriority w:val="9"/>
    <w:qFormat/>
    <w:rsid w:val="00BE0343"/>
    <w:pPr>
      <w:numPr>
        <w:numId w:val="1"/>
      </w:numPr>
      <w:tabs>
        <w:tab w:val="num" w:pos="360"/>
      </w:tabs>
      <w:ind w:left="0" w:firstLine="0"/>
      <w:outlineLvl w:val="0"/>
    </w:pPr>
    <w:rPr>
      <w:bCs/>
    </w:rPr>
  </w:style>
  <w:style w:type="paragraph" w:styleId="Virsraksts2">
    <w:name w:val="heading 2"/>
    <w:basedOn w:val="Sarakstarindkopa"/>
    <w:next w:val="Parasts"/>
    <w:link w:val="Virsraksts2Rakstz"/>
    <w:uiPriority w:val="9"/>
    <w:unhideWhenUsed/>
    <w:qFormat/>
    <w:rsid w:val="00BE0343"/>
    <w:pPr>
      <w:numPr>
        <w:ilvl w:val="1"/>
        <w:numId w:val="1"/>
      </w:numPr>
      <w:tabs>
        <w:tab w:val="num" w:pos="360"/>
      </w:tabs>
      <w:spacing w:before="120"/>
      <w:ind w:left="0" w:firstLine="0"/>
      <w:outlineLvl w:val="1"/>
    </w:pPr>
    <w:rPr>
      <w:rFonts w:cs="Times New Roman"/>
    </w:rPr>
  </w:style>
  <w:style w:type="paragraph" w:styleId="Virsraksts3">
    <w:name w:val="heading 3"/>
    <w:basedOn w:val="Sarakstarindkopa"/>
    <w:next w:val="Parasts"/>
    <w:link w:val="Virsraksts3Rakstz"/>
    <w:uiPriority w:val="9"/>
    <w:unhideWhenUsed/>
    <w:qFormat/>
    <w:rsid w:val="00BE0343"/>
    <w:pPr>
      <w:numPr>
        <w:ilvl w:val="2"/>
        <w:numId w:val="1"/>
      </w:numPr>
      <w:tabs>
        <w:tab w:val="num" w:pos="360"/>
      </w:tabs>
      <w:spacing w:before="120"/>
      <w:ind w:left="0" w:firstLine="0"/>
      <w:outlineLvl w:val="2"/>
    </w:pPr>
    <w:rPr>
      <w:rFonts w:cs="Times New Roman"/>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E0343"/>
    <w:rPr>
      <w:rFonts w:ascii="Times New Roman" w:hAnsi="Times New Roman"/>
      <w:b/>
      <w:bCs/>
    </w:rPr>
  </w:style>
  <w:style w:type="character" w:customStyle="1" w:styleId="Virsraksts2Rakstz">
    <w:name w:val="Virsraksts 2 Rakstz."/>
    <w:basedOn w:val="Noklusjumarindkopasfonts"/>
    <w:link w:val="Virsraksts2"/>
    <w:uiPriority w:val="9"/>
    <w:rsid w:val="00BE0343"/>
    <w:rPr>
      <w:rFonts w:ascii="Times New Roman" w:hAnsi="Times New Roman" w:cs="Times New Roman"/>
      <w:b/>
    </w:rPr>
  </w:style>
  <w:style w:type="character" w:customStyle="1" w:styleId="Virsraksts3Rakstz">
    <w:name w:val="Virsraksts 3 Rakstz."/>
    <w:basedOn w:val="Noklusjumarindkopasfonts"/>
    <w:link w:val="Virsraksts3"/>
    <w:uiPriority w:val="9"/>
    <w:rsid w:val="00BE0343"/>
    <w:rPr>
      <w:rFonts w:ascii="Times New Roman" w:hAnsi="Times New Roman" w:cs="Times New Roman"/>
      <w:b/>
      <w:sz w:val="20"/>
    </w:rPr>
  </w:style>
  <w:style w:type="character" w:customStyle="1" w:styleId="SarakstarindkopaRakstz">
    <w:name w:val="Saraksta rindkopa Rakstz."/>
    <w:aliases w:val="2 Rakstz.,H&amp;P List Paragraph Rakstz.,Strip Rakstz.,List Paragraph1 Rakstz.,List Paragraph11 Rakstz.,Normal bullet 2 Rakstz.,Bullet list Rakstz.,Saraksta rindkopa1 Rakstz.,Numbered Para 1 Rakstz.,Dot pt Rakstz.,Bullet 1 Rakstz."/>
    <w:link w:val="Sarakstarindkopa"/>
    <w:uiPriority w:val="34"/>
    <w:qFormat/>
    <w:locked/>
    <w:rsid w:val="00BE0343"/>
    <w:rPr>
      <w:rFonts w:ascii="Times New Roman" w:hAnsi="Times New Roman"/>
      <w:b/>
    </w:rPr>
  </w:style>
  <w:style w:type="paragraph" w:styleId="Sarakstarindkopa">
    <w:name w:val="List Paragraph"/>
    <w:aliases w:val="2,H&amp;P List Paragraph,Strip,List Paragraph1,List Paragraph11,Normal bullet 2,Bullet list,Saraksta rindkopa1,Numbered Para 1,Dot pt,No Spacing1,List Paragraph Char Char Char,Indicator Text,Bullet 1,Bullet Points,MAIN CONTENT"/>
    <w:basedOn w:val="Parasts"/>
    <w:link w:val="SarakstarindkopaRakstz"/>
    <w:uiPriority w:val="34"/>
    <w:qFormat/>
    <w:rsid w:val="00BE0343"/>
    <w:pPr>
      <w:spacing w:after="0" w:line="240" w:lineRule="auto"/>
      <w:contextualSpacing/>
    </w:pPr>
    <w:rPr>
      <w:rFonts w:ascii="Times New Roman" w:hAnsi="Times New Roman"/>
      <w:b/>
    </w:rPr>
  </w:style>
  <w:style w:type="paragraph" w:customStyle="1" w:styleId="paragraph">
    <w:name w:val="paragraph"/>
    <w:basedOn w:val="Parasts"/>
    <w:rsid w:val="000A0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oklusjumarindkopasfonts"/>
    <w:rsid w:val="000A0435"/>
  </w:style>
  <w:style w:type="character" w:customStyle="1" w:styleId="eop">
    <w:name w:val="eop"/>
    <w:basedOn w:val="Noklusjumarindkopasfonts"/>
    <w:rsid w:val="000A0435"/>
  </w:style>
  <w:style w:type="table" w:styleId="Reatabula">
    <w:name w:val="Table Grid"/>
    <w:basedOn w:val="Parastatabula"/>
    <w:uiPriority w:val="39"/>
    <w:rsid w:val="003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23F4D"/>
    <w:pPr>
      <w:spacing w:after="0" w:line="240" w:lineRule="auto"/>
    </w:pPr>
  </w:style>
  <w:style w:type="character" w:styleId="Hipersaite">
    <w:name w:val="Hyperlink"/>
    <w:uiPriority w:val="99"/>
    <w:unhideWhenUsed/>
    <w:rsid w:val="00F20978"/>
    <w:rPr>
      <w:color w:val="0000FF"/>
      <w:u w:val="single"/>
    </w:rPr>
  </w:style>
  <w:style w:type="paragraph" w:styleId="Balonteksts">
    <w:name w:val="Balloon Text"/>
    <w:basedOn w:val="Parasts"/>
    <w:link w:val="BalontekstsRakstz"/>
    <w:uiPriority w:val="99"/>
    <w:semiHidden/>
    <w:unhideWhenUsed/>
    <w:rsid w:val="00D16B4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16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oc.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it.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h.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startsmes.eu/" TargetMode="External"/><Relationship Id="rId4" Type="http://schemas.openxmlformats.org/officeDocument/2006/relationships/numbering" Target="numbering.xml"/><Relationship Id="rId9" Type="http://schemas.openxmlformats.org/officeDocument/2006/relationships/hyperlink" Target="https://trans4mers.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c3fb5-c98f-4a43-a053-06a5a92b2d2f">
      <Terms xmlns="http://schemas.microsoft.com/office/infopath/2007/PartnerControls"/>
    </lcf76f155ced4ddcb4097134ff3c332f>
    <TaxCatchAll xmlns="7bb3b085-a6e1-4715-82e1-07fdee4bae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8CC6E-8B39-417D-8529-45E5D28C2971}">
  <ds:schemaRefs>
    <ds:schemaRef ds:uri="http://schemas.microsoft.com/office/2006/metadata/properties"/>
    <ds:schemaRef ds:uri="http://schemas.microsoft.com/office/infopath/2007/PartnerControls"/>
    <ds:schemaRef ds:uri="f37c3fb5-c98f-4a43-a053-06a5a92b2d2f"/>
    <ds:schemaRef ds:uri="7bb3b085-a6e1-4715-82e1-07fdee4baece"/>
  </ds:schemaRefs>
</ds:datastoreItem>
</file>

<file path=customXml/itemProps2.xml><?xml version="1.0" encoding="utf-8"?>
<ds:datastoreItem xmlns:ds="http://schemas.openxmlformats.org/officeDocument/2006/customXml" ds:itemID="{AACA3ADB-91BB-494C-B628-3241C856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76410-925C-4FF8-AD82-A8F16C8B7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38242</Words>
  <Characters>21799</Characters>
  <Application>Microsoft Office Word</Application>
  <DocSecurity>4</DocSecurity>
  <Lines>181</Lines>
  <Paragraphs>119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Līga Brikmane</cp:lastModifiedBy>
  <cp:revision>2</cp:revision>
  <dcterms:created xsi:type="dcterms:W3CDTF">2024-06-18T08:44:00Z</dcterms:created>
  <dcterms:modified xsi:type="dcterms:W3CDTF">2024-06-18T08:44:00Z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